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54E" w:rsidRPr="003A10D0" w:rsidRDefault="0073654E">
      <w:pPr>
        <w:pStyle w:val="ConsPlusNormal"/>
        <w:jc w:val="both"/>
        <w:rPr>
          <w:sz w:val="22"/>
        </w:rPr>
      </w:pPr>
    </w:p>
    <w:p w:rsidR="000D6588" w:rsidRPr="000D6588" w:rsidRDefault="000D6588" w:rsidP="000D6588">
      <w:pPr>
        <w:pStyle w:val="ConsPlusNormal"/>
        <w:spacing w:after="1"/>
        <w:jc w:val="right"/>
        <w:rPr>
          <w:rFonts w:eastAsia="Times New Roman"/>
          <w:szCs w:val="28"/>
        </w:rPr>
      </w:pPr>
      <w:r w:rsidRPr="000D6588">
        <w:rPr>
          <w:rFonts w:eastAsia="Times New Roman"/>
          <w:szCs w:val="28"/>
        </w:rPr>
        <w:t>ПРОЕКТ</w:t>
      </w:r>
    </w:p>
    <w:p w:rsidR="000D6588" w:rsidRDefault="000D6588" w:rsidP="00A22060">
      <w:pPr>
        <w:pStyle w:val="ConsPlusNormal"/>
        <w:spacing w:after="1"/>
        <w:jc w:val="center"/>
        <w:rPr>
          <w:rFonts w:eastAsia="Times New Roman"/>
          <w:b/>
          <w:szCs w:val="28"/>
          <w:lang w:val="en-US"/>
        </w:rPr>
      </w:pPr>
    </w:p>
    <w:p w:rsidR="0073654E" w:rsidRPr="000D6588" w:rsidRDefault="00A22060" w:rsidP="00A22060">
      <w:pPr>
        <w:pStyle w:val="ConsPlusNormal"/>
        <w:spacing w:after="1"/>
        <w:jc w:val="center"/>
        <w:rPr>
          <w:b/>
          <w:sz w:val="22"/>
        </w:rPr>
      </w:pPr>
      <w:r w:rsidRPr="000D6588">
        <w:rPr>
          <w:rFonts w:eastAsia="Times New Roman"/>
          <w:b/>
          <w:szCs w:val="28"/>
        </w:rPr>
        <w:t>Порядок предоставления субвенции из областного бюджета местным бюджетам на осуществление государственных полномочий Мурманской области по предоставлению многодетным семьям иной меры поддержки по обеспечению жилыми помещениями или дополнительной меры поддержки по обеспечению земельными участками</w:t>
      </w:r>
    </w:p>
    <w:p w:rsidR="0073654E" w:rsidRPr="000D6588" w:rsidRDefault="0073654E">
      <w:pPr>
        <w:pStyle w:val="ConsPlusNormal"/>
        <w:jc w:val="both"/>
        <w:rPr>
          <w:sz w:val="22"/>
        </w:rPr>
      </w:pPr>
      <w:bookmarkStart w:id="0" w:name="_GoBack"/>
      <w:bookmarkEnd w:id="0"/>
    </w:p>
    <w:p w:rsidR="00A22060" w:rsidRPr="000D6588" w:rsidRDefault="00A22060" w:rsidP="00A22060">
      <w:pPr>
        <w:pStyle w:val="a3"/>
        <w:autoSpaceDE w:val="0"/>
        <w:autoSpaceDN w:val="0"/>
        <w:adjustRightInd w:val="0"/>
        <w:spacing w:after="0" w:line="240" w:lineRule="auto"/>
        <w:ind w:left="0" w:firstLine="709"/>
        <w:contextualSpacing/>
        <w:jc w:val="both"/>
        <w:rPr>
          <w:rFonts w:ascii="Times New Roman" w:eastAsia="Times New Roman" w:hAnsi="Times New Roman"/>
          <w:sz w:val="24"/>
          <w:szCs w:val="28"/>
        </w:rPr>
      </w:pPr>
      <w:r w:rsidRPr="000D6588">
        <w:rPr>
          <w:rFonts w:ascii="Times New Roman" w:eastAsia="Times New Roman" w:hAnsi="Times New Roman"/>
          <w:sz w:val="24"/>
          <w:szCs w:val="28"/>
        </w:rPr>
        <w:t>1. Настоящий Порядок устанавливает правила предоставления субвенций из областного бюджета местным бюджетам на осуществление органами местного самоуправления отдельных государственных полномочий Мурманской области по предоставлению многодетным семьям</w:t>
      </w:r>
      <w:r w:rsidRPr="000D6588">
        <w:rPr>
          <w:rFonts w:ascii="Times New Roman" w:hAnsi="Times New Roman"/>
          <w:sz w:val="20"/>
        </w:rPr>
        <w:t xml:space="preserve"> </w:t>
      </w:r>
      <w:r w:rsidRPr="000D6588">
        <w:rPr>
          <w:rFonts w:ascii="Times New Roman" w:eastAsia="Times New Roman" w:hAnsi="Times New Roman"/>
          <w:sz w:val="24"/>
          <w:szCs w:val="28"/>
        </w:rPr>
        <w:t>иной меры поддержки по обеспечению жилыми помещениями или дополнительной меры поддержки по обеспечению земельными участками (далее - Субвенции).</w:t>
      </w:r>
    </w:p>
    <w:p w:rsidR="00A22060" w:rsidRPr="000D6588" w:rsidRDefault="00A22060" w:rsidP="00A22060">
      <w:pPr>
        <w:pStyle w:val="ConsPlusNormal"/>
        <w:spacing w:before="240"/>
        <w:ind w:firstLine="540"/>
        <w:jc w:val="both"/>
        <w:rPr>
          <w:szCs w:val="28"/>
        </w:rPr>
      </w:pPr>
      <w:r w:rsidRPr="000D6588">
        <w:rPr>
          <w:szCs w:val="28"/>
        </w:rPr>
        <w:t xml:space="preserve">2. </w:t>
      </w:r>
      <w:proofErr w:type="gramStart"/>
      <w:r w:rsidRPr="000D6588">
        <w:rPr>
          <w:szCs w:val="28"/>
        </w:rPr>
        <w:t>Субвенции предоставляются бюджетам муниципальных образований Мурманской области со статусом городского округа (за исключением закрытых административно-территориальных образований) и муниципального округа (далее - органы местного самоуправления) в целях финансового обеспечения государственных полномочий по предоставлению многодетным семьям иной меры поддержки по обеспечению жилыми помещениями или дополнительной меры поддержки по обеспечению земельными участками (далее - единовременных денежных выплат).</w:t>
      </w:r>
      <w:proofErr w:type="gramEnd"/>
    </w:p>
    <w:p w:rsidR="0073654E" w:rsidRPr="000D6588" w:rsidRDefault="006A39A7" w:rsidP="00A22060">
      <w:pPr>
        <w:pStyle w:val="ConsPlusNormal"/>
        <w:spacing w:before="240"/>
        <w:ind w:firstLine="540"/>
        <w:jc w:val="both"/>
        <w:rPr>
          <w:sz w:val="22"/>
        </w:rPr>
      </w:pPr>
      <w:r w:rsidRPr="000D6588">
        <w:rPr>
          <w:sz w:val="22"/>
        </w:rPr>
        <w:t xml:space="preserve">3. Субвенции предоставляются на осуществление отдельных государственных полномочий Мурманской области по предоставлению </w:t>
      </w:r>
      <w:r w:rsidR="00A22060" w:rsidRPr="000D6588">
        <w:rPr>
          <w:szCs w:val="28"/>
          <w:lang w:eastAsia="en-US"/>
        </w:rPr>
        <w:t>единовременных денежных выплат</w:t>
      </w:r>
      <w:r w:rsidRPr="000D6588">
        <w:rPr>
          <w:sz w:val="22"/>
        </w:rPr>
        <w:t>, включающих в себя:</w:t>
      </w:r>
    </w:p>
    <w:p w:rsidR="0073654E" w:rsidRPr="000D6588" w:rsidRDefault="006A39A7">
      <w:pPr>
        <w:pStyle w:val="ConsPlusNormal"/>
        <w:spacing w:before="240"/>
        <w:ind w:firstLine="540"/>
        <w:jc w:val="both"/>
        <w:rPr>
          <w:sz w:val="22"/>
        </w:rPr>
      </w:pPr>
      <w:r w:rsidRPr="000D6588">
        <w:rPr>
          <w:sz w:val="22"/>
        </w:rPr>
        <w:t xml:space="preserve">1) информирование многодетных семей о возможности получения ими </w:t>
      </w:r>
      <w:r w:rsidR="00A22060" w:rsidRPr="000D6588">
        <w:rPr>
          <w:szCs w:val="28"/>
          <w:lang w:eastAsia="en-US"/>
        </w:rPr>
        <w:t>единовременных денежных выплат</w:t>
      </w:r>
      <w:r w:rsidRPr="000D6588">
        <w:rPr>
          <w:sz w:val="22"/>
        </w:rPr>
        <w:t>;</w:t>
      </w:r>
    </w:p>
    <w:p w:rsidR="0073654E" w:rsidRPr="000D6588" w:rsidRDefault="006A39A7">
      <w:pPr>
        <w:pStyle w:val="ConsPlusNormal"/>
        <w:spacing w:before="240"/>
        <w:ind w:firstLine="540"/>
        <w:jc w:val="both"/>
        <w:rPr>
          <w:sz w:val="22"/>
        </w:rPr>
      </w:pPr>
      <w:r w:rsidRPr="000D6588">
        <w:rPr>
          <w:sz w:val="22"/>
        </w:rPr>
        <w:t xml:space="preserve">2) принятие и рассмотрение согласия на получение </w:t>
      </w:r>
      <w:r w:rsidR="00A22060" w:rsidRPr="000D6588">
        <w:rPr>
          <w:szCs w:val="28"/>
          <w:lang w:eastAsia="en-US"/>
        </w:rPr>
        <w:t>единовременных денежных выплат</w:t>
      </w:r>
      <w:r w:rsidRPr="000D6588">
        <w:rPr>
          <w:sz w:val="22"/>
        </w:rPr>
        <w:t xml:space="preserve">, заявления и других документов, необходимых для предоставления многодетным семьям </w:t>
      </w:r>
      <w:r w:rsidR="00A22060" w:rsidRPr="000D6588">
        <w:rPr>
          <w:szCs w:val="28"/>
          <w:lang w:eastAsia="en-US"/>
        </w:rPr>
        <w:t>единовременных денежных выплат</w:t>
      </w:r>
      <w:r w:rsidRPr="000D6588">
        <w:rPr>
          <w:sz w:val="22"/>
        </w:rPr>
        <w:t>;</w:t>
      </w:r>
    </w:p>
    <w:p w:rsidR="0073654E" w:rsidRPr="000D6588" w:rsidRDefault="006A39A7">
      <w:pPr>
        <w:pStyle w:val="ConsPlusNormal"/>
        <w:spacing w:before="240"/>
        <w:ind w:firstLine="540"/>
        <w:jc w:val="both"/>
        <w:rPr>
          <w:sz w:val="22"/>
        </w:rPr>
      </w:pPr>
      <w:r w:rsidRPr="000D6588">
        <w:rPr>
          <w:sz w:val="22"/>
        </w:rPr>
        <w:t xml:space="preserve">3) принятие решений о предоставлении </w:t>
      </w:r>
      <w:r w:rsidR="00A22060" w:rsidRPr="000D6588">
        <w:rPr>
          <w:szCs w:val="28"/>
          <w:lang w:eastAsia="en-US"/>
        </w:rPr>
        <w:t>единовременных денежных выплат</w:t>
      </w:r>
      <w:r w:rsidRPr="000D6588">
        <w:rPr>
          <w:sz w:val="22"/>
        </w:rPr>
        <w:t xml:space="preserve"> и решений об отказе в предоставлении </w:t>
      </w:r>
      <w:r w:rsidR="00A22060" w:rsidRPr="000D6588">
        <w:rPr>
          <w:szCs w:val="28"/>
          <w:lang w:eastAsia="en-US"/>
        </w:rPr>
        <w:t>единовременных денежных выплат</w:t>
      </w:r>
      <w:r w:rsidRPr="000D6588">
        <w:rPr>
          <w:sz w:val="22"/>
        </w:rPr>
        <w:t>;</w:t>
      </w:r>
    </w:p>
    <w:p w:rsidR="0073654E" w:rsidRPr="000D6588" w:rsidRDefault="006A39A7">
      <w:pPr>
        <w:pStyle w:val="ConsPlusNormal"/>
        <w:spacing w:before="240"/>
        <w:ind w:firstLine="540"/>
        <w:jc w:val="both"/>
        <w:rPr>
          <w:sz w:val="22"/>
        </w:rPr>
      </w:pPr>
      <w:r w:rsidRPr="000D6588">
        <w:rPr>
          <w:sz w:val="22"/>
        </w:rPr>
        <w:t xml:space="preserve">4) перечисление </w:t>
      </w:r>
      <w:r w:rsidR="00A22060" w:rsidRPr="000D6588">
        <w:rPr>
          <w:szCs w:val="28"/>
          <w:lang w:eastAsia="en-US"/>
        </w:rPr>
        <w:t>единовременных денежных выплат</w:t>
      </w:r>
      <w:r w:rsidRPr="000D6588">
        <w:rPr>
          <w:sz w:val="22"/>
        </w:rPr>
        <w:t>.</w:t>
      </w:r>
    </w:p>
    <w:p w:rsidR="00A22060" w:rsidRPr="000D6588" w:rsidRDefault="00A22060">
      <w:pPr>
        <w:pStyle w:val="ConsPlusNormal"/>
        <w:spacing w:before="240"/>
        <w:ind w:firstLine="540"/>
        <w:jc w:val="both"/>
        <w:rPr>
          <w:sz w:val="22"/>
        </w:rPr>
      </w:pPr>
      <w:r w:rsidRPr="000D6588">
        <w:rPr>
          <w:szCs w:val="28"/>
          <w:lang w:eastAsia="en-US"/>
        </w:rPr>
        <w:t>5) ведение учета многодетных семей, подавших заявление о предоставлении иной меры поддержки по обеспечению жилыми помещениями или дополнительной меры поддержки по обеспечению земельными участками.</w:t>
      </w:r>
    </w:p>
    <w:p w:rsidR="0073654E" w:rsidRPr="000D6588" w:rsidRDefault="006A39A7">
      <w:pPr>
        <w:pStyle w:val="ConsPlusNormal"/>
        <w:spacing w:before="240"/>
        <w:ind w:firstLine="540"/>
        <w:jc w:val="both"/>
        <w:rPr>
          <w:sz w:val="22"/>
        </w:rPr>
      </w:pPr>
      <w:r w:rsidRPr="000D6588">
        <w:rPr>
          <w:sz w:val="22"/>
        </w:rPr>
        <w:t xml:space="preserve">3.1. Расходы на компенсацию затрат, связанных с обеспечением деятельности органов местного самоуправления по осуществлению отдельных государственных полномочий Мурманской области по предоставлению </w:t>
      </w:r>
      <w:r w:rsidR="00A22060" w:rsidRPr="000D6588">
        <w:rPr>
          <w:szCs w:val="28"/>
          <w:lang w:eastAsia="en-US"/>
        </w:rPr>
        <w:t>единовременных денежных выплат</w:t>
      </w:r>
      <w:r w:rsidRPr="000D6588">
        <w:rPr>
          <w:sz w:val="22"/>
        </w:rPr>
        <w:t>, могут включать в себя:</w:t>
      </w:r>
    </w:p>
    <w:p w:rsidR="0073654E" w:rsidRPr="000D6588" w:rsidRDefault="006A39A7">
      <w:pPr>
        <w:pStyle w:val="ConsPlusNormal"/>
        <w:spacing w:before="240"/>
        <w:ind w:firstLine="540"/>
        <w:jc w:val="both"/>
        <w:rPr>
          <w:sz w:val="22"/>
        </w:rPr>
      </w:pPr>
      <w:r w:rsidRPr="000D6588">
        <w:rPr>
          <w:sz w:val="22"/>
        </w:rPr>
        <w:t>- оплату труда работников органа местного самоуправления или уполномоченного ими органа (далее - уполномоченный орган);</w:t>
      </w:r>
    </w:p>
    <w:p w:rsidR="0073654E" w:rsidRPr="000D6588" w:rsidRDefault="006A39A7">
      <w:pPr>
        <w:pStyle w:val="ConsPlusNormal"/>
        <w:spacing w:before="240"/>
        <w:ind w:firstLine="540"/>
        <w:jc w:val="both"/>
        <w:rPr>
          <w:sz w:val="22"/>
        </w:rPr>
      </w:pPr>
      <w:r w:rsidRPr="000D6588">
        <w:rPr>
          <w:sz w:val="22"/>
        </w:rPr>
        <w:t>- почтовые расходы и почтовые услуги (марки, конверты) уполномоченного органа;</w:t>
      </w:r>
    </w:p>
    <w:p w:rsidR="0073654E" w:rsidRPr="000D6588" w:rsidRDefault="006A39A7">
      <w:pPr>
        <w:pStyle w:val="ConsPlusNormal"/>
        <w:spacing w:before="240"/>
        <w:ind w:firstLine="540"/>
        <w:jc w:val="both"/>
        <w:rPr>
          <w:sz w:val="22"/>
        </w:rPr>
      </w:pPr>
      <w:r w:rsidRPr="000D6588">
        <w:rPr>
          <w:sz w:val="22"/>
        </w:rPr>
        <w:t>- расходы на приобретение и обслуживание персональных компьютеров и оргтехники, расходных средств и программного обеспечения уполномоченного органа;</w:t>
      </w:r>
    </w:p>
    <w:p w:rsidR="0073654E" w:rsidRPr="000D6588" w:rsidRDefault="006A39A7">
      <w:pPr>
        <w:pStyle w:val="ConsPlusNormal"/>
        <w:spacing w:before="240"/>
        <w:ind w:firstLine="540"/>
        <w:jc w:val="both"/>
        <w:rPr>
          <w:sz w:val="22"/>
        </w:rPr>
      </w:pPr>
      <w:r w:rsidRPr="000D6588">
        <w:rPr>
          <w:sz w:val="22"/>
        </w:rPr>
        <w:t>- расходы на канцтовары уполномоченного органа;</w:t>
      </w:r>
    </w:p>
    <w:p w:rsidR="0073654E" w:rsidRPr="000D6588" w:rsidRDefault="006A39A7">
      <w:pPr>
        <w:pStyle w:val="ConsPlusNormal"/>
        <w:spacing w:before="240"/>
        <w:ind w:firstLine="540"/>
        <w:jc w:val="both"/>
        <w:rPr>
          <w:sz w:val="22"/>
        </w:rPr>
      </w:pPr>
      <w:r w:rsidRPr="000D6588">
        <w:rPr>
          <w:sz w:val="22"/>
        </w:rPr>
        <w:lastRenderedPageBreak/>
        <w:t>- расходы на полиграфические услуги уполномоченного органа;</w:t>
      </w:r>
    </w:p>
    <w:p w:rsidR="0073654E" w:rsidRPr="000D6588" w:rsidRDefault="006A39A7">
      <w:pPr>
        <w:pStyle w:val="ConsPlusNormal"/>
        <w:spacing w:before="240"/>
        <w:ind w:firstLine="540"/>
        <w:jc w:val="both"/>
        <w:rPr>
          <w:sz w:val="22"/>
        </w:rPr>
      </w:pPr>
      <w:r w:rsidRPr="000D6588">
        <w:rPr>
          <w:sz w:val="22"/>
        </w:rPr>
        <w:t>- расходы на оплату услуг связи, в том числе услуг доступа к информационно-телекоммуникационной сети Интернет, уполномоченного органа;</w:t>
      </w:r>
    </w:p>
    <w:p w:rsidR="0073654E" w:rsidRPr="000D6588" w:rsidRDefault="006A39A7">
      <w:pPr>
        <w:pStyle w:val="ConsPlusNormal"/>
        <w:spacing w:before="240"/>
        <w:ind w:firstLine="540"/>
        <w:jc w:val="both"/>
        <w:rPr>
          <w:sz w:val="22"/>
        </w:rPr>
      </w:pPr>
      <w:r w:rsidRPr="000D6588">
        <w:rPr>
          <w:sz w:val="22"/>
        </w:rPr>
        <w:t>- расходы на транспортные услуги уполномоченного органа;</w:t>
      </w:r>
    </w:p>
    <w:p w:rsidR="0073654E" w:rsidRPr="000D6588" w:rsidRDefault="006A39A7">
      <w:pPr>
        <w:pStyle w:val="ConsPlusNormal"/>
        <w:spacing w:before="240"/>
        <w:ind w:firstLine="540"/>
        <w:jc w:val="both"/>
        <w:rPr>
          <w:sz w:val="22"/>
        </w:rPr>
      </w:pPr>
      <w:r w:rsidRPr="000D6588">
        <w:rPr>
          <w:sz w:val="22"/>
        </w:rPr>
        <w:t>- расходы на содержание помещений уполномоченного органа, расходных и моющих средств, мебель, арендную плату и коммунальные услуги уполномоченного органа;</w:t>
      </w:r>
    </w:p>
    <w:p w:rsidR="0073654E" w:rsidRPr="000D6588" w:rsidRDefault="006A39A7">
      <w:pPr>
        <w:pStyle w:val="ConsPlusNormal"/>
        <w:spacing w:before="240"/>
        <w:ind w:firstLine="540"/>
        <w:jc w:val="both"/>
        <w:rPr>
          <w:sz w:val="22"/>
        </w:rPr>
      </w:pPr>
      <w:proofErr w:type="gramStart"/>
      <w:r w:rsidRPr="000D6588">
        <w:rPr>
          <w:sz w:val="22"/>
        </w:rPr>
        <w:t xml:space="preserve">- расходы на компенсацию оплаты стоимости проезда и провоза багажа к месту использования отпуска и обратно работникам органов местного самоуправления или уполномоченного органа, осуществляющего переданные государственные полномочия по предоставлению многодетным семьям </w:t>
      </w:r>
      <w:r w:rsidR="00A22060" w:rsidRPr="000D6588">
        <w:rPr>
          <w:szCs w:val="28"/>
          <w:lang w:eastAsia="en-US"/>
        </w:rPr>
        <w:t>иной меры поддержки по обеспечению жилыми помещениями или дополнительной меры поддержки по обеспечению земельными участками</w:t>
      </w:r>
      <w:r w:rsidRPr="000D6588">
        <w:rPr>
          <w:sz w:val="22"/>
        </w:rPr>
        <w:t>.</w:t>
      </w:r>
      <w:proofErr w:type="gramEnd"/>
    </w:p>
    <w:p w:rsidR="0073654E" w:rsidRPr="000D6588" w:rsidRDefault="006A39A7">
      <w:pPr>
        <w:pStyle w:val="ConsPlusNormal"/>
        <w:spacing w:before="240"/>
        <w:ind w:firstLine="540"/>
        <w:jc w:val="both"/>
        <w:rPr>
          <w:sz w:val="22"/>
        </w:rPr>
      </w:pPr>
      <w:r w:rsidRPr="000D6588">
        <w:rPr>
          <w:sz w:val="22"/>
        </w:rPr>
        <w:t>4. Субвенции предоставляются в соответствии со сводной бюджетной росписью областного бюджета и кассовым планом в пределах лимитов бюджетных обязательств, предусмотренных главным распорядителем бюджетных средств - Министерством с</w:t>
      </w:r>
      <w:r w:rsidR="00A22060" w:rsidRPr="000D6588">
        <w:rPr>
          <w:sz w:val="22"/>
        </w:rPr>
        <w:t>троительства Мурманской области,</w:t>
      </w:r>
      <w:r w:rsidRPr="000D6588">
        <w:rPr>
          <w:sz w:val="22"/>
        </w:rPr>
        <w:t xml:space="preserve"> как получателю бюджетных средств.</w:t>
      </w:r>
    </w:p>
    <w:p w:rsidR="0073654E" w:rsidRPr="000D6588" w:rsidRDefault="006A39A7">
      <w:pPr>
        <w:pStyle w:val="ConsPlusNormal"/>
        <w:spacing w:before="240"/>
        <w:ind w:firstLine="540"/>
        <w:jc w:val="both"/>
        <w:rPr>
          <w:sz w:val="22"/>
        </w:rPr>
      </w:pPr>
      <w:r w:rsidRPr="000D6588">
        <w:rPr>
          <w:sz w:val="22"/>
        </w:rPr>
        <w:t>В случае если в муниципальном образовании превышены нормативы, используемые в указанной Методике, финансовое обеспечение дополнительных расходов, необходимых для полного исполнения государственных полномочий, осуществляется органом местного самоуправления за счет собственных доходов и источников финансирования дефицита местного бюджета.</w:t>
      </w:r>
    </w:p>
    <w:p w:rsidR="0073654E" w:rsidRPr="000D6588" w:rsidRDefault="006A39A7">
      <w:pPr>
        <w:pStyle w:val="ConsPlusNormal"/>
        <w:spacing w:before="240"/>
        <w:ind w:firstLine="540"/>
        <w:jc w:val="both"/>
        <w:rPr>
          <w:sz w:val="22"/>
        </w:rPr>
      </w:pPr>
      <w:r w:rsidRPr="000D6588">
        <w:rPr>
          <w:sz w:val="22"/>
        </w:rPr>
        <w:t>5. Общий объем и распределение Субвенций местным бюджетам из областного бюджета между муниципальными образованиями утверждается законом Мурманской области об областном бюджете на очередной финансовый год и плановый период.</w:t>
      </w:r>
    </w:p>
    <w:p w:rsidR="0073654E" w:rsidRPr="000D6588" w:rsidRDefault="006A39A7">
      <w:pPr>
        <w:pStyle w:val="ConsPlusNormal"/>
        <w:spacing w:before="240"/>
        <w:ind w:firstLine="540"/>
        <w:jc w:val="both"/>
        <w:rPr>
          <w:sz w:val="22"/>
        </w:rPr>
      </w:pPr>
      <w:r w:rsidRPr="000D6588">
        <w:rPr>
          <w:sz w:val="22"/>
        </w:rPr>
        <w:t>Объем субвенции, предоставляемый местным бюджетам из областного бюджета, может корректироваться в случае изменения значений показателей, используемых при расчете субвенции.</w:t>
      </w:r>
    </w:p>
    <w:p w:rsidR="00A22060" w:rsidRPr="000D6588" w:rsidRDefault="00A22060" w:rsidP="00A22060">
      <w:pPr>
        <w:pStyle w:val="a5"/>
        <w:spacing w:after="0" w:line="288" w:lineRule="atLeast"/>
        <w:ind w:firstLine="540"/>
        <w:jc w:val="both"/>
        <w:rPr>
          <w:rFonts w:eastAsia="Times New Roman"/>
          <w:szCs w:val="28"/>
        </w:rPr>
      </w:pPr>
      <w:r w:rsidRPr="000D6588">
        <w:rPr>
          <w:rFonts w:eastAsia="Times New Roman"/>
          <w:szCs w:val="28"/>
        </w:rPr>
        <w:t xml:space="preserve">6. </w:t>
      </w:r>
      <w:proofErr w:type="gramStart"/>
      <w:r w:rsidRPr="000D6588">
        <w:rPr>
          <w:rFonts w:eastAsia="Times New Roman"/>
          <w:szCs w:val="28"/>
        </w:rPr>
        <w:t>Министерство имущественных отношений Мурманской области после официального опубликования закона Мурманской области об областном бюджете на очередной финансовый год и плановый период, но не позднее 31 декабря утверждает нормативный правовой акт, который определяет общее прогнозируемое количество денежных выплат многодетным семьям на приобретение на территории Мурманской области в собственность земельного участка для ведения личного подсобного хозяйства, ведения садоводства для собственных нужд или</w:t>
      </w:r>
      <w:proofErr w:type="gramEnd"/>
      <w:r w:rsidRPr="000D6588">
        <w:rPr>
          <w:rFonts w:eastAsia="Times New Roman"/>
          <w:szCs w:val="28"/>
        </w:rPr>
        <w:t xml:space="preserve"> </w:t>
      </w:r>
      <w:proofErr w:type="gramStart"/>
      <w:r w:rsidRPr="000D6588">
        <w:rPr>
          <w:rFonts w:eastAsia="Times New Roman"/>
          <w:szCs w:val="28"/>
        </w:rPr>
        <w:t>индивидуального жилищного строительства на соответствующий финансовый год исходя из финансовой возможности областного бюджета, размера денежной выплаты многодетным семьям на приобретение на территории Мурманской области в собственность земельного участка для ведения личного подсобного хозяйства, ведения садоводства для собственных нужд или индивидуального жилищного строительства и коэффициента расходов на компенсацию затрат, связанных с обеспечением деятельности органов местного самоуправления в связи с осуществлением переданных</w:t>
      </w:r>
      <w:proofErr w:type="gramEnd"/>
      <w:r w:rsidRPr="000D6588">
        <w:rPr>
          <w:rFonts w:eastAsia="Times New Roman"/>
          <w:szCs w:val="28"/>
        </w:rPr>
        <w:t xml:space="preserve"> им полномочий и прогнозируемое количество денежных выплат многодетным семьям на приобретение на территории Мурманской области в собственность земельного участка для ведения личного подсобного хозяйства, ведения садоводства для собственных нужд или индивидуального </w:t>
      </w:r>
      <w:proofErr w:type="gramStart"/>
      <w:r w:rsidRPr="000D6588">
        <w:rPr>
          <w:rFonts w:eastAsia="Times New Roman"/>
          <w:szCs w:val="28"/>
        </w:rPr>
        <w:t>жилищного строительства на соответствующий финансовый год для каждого муниципального образования в соответствии с пунктом 2 Методики, установленной Законом Мурманской области от 19.12.2019 № 2454-01-ЗМО «Об отдельных мерах социальной поддержки многодетных семей и о внесении изменений в отдельные законодательные акты Мурманской области».</w:t>
      </w:r>
      <w:proofErr w:type="gramEnd"/>
    </w:p>
    <w:p w:rsidR="00A22060" w:rsidRPr="000D6588" w:rsidRDefault="00A22060" w:rsidP="00A22060">
      <w:pPr>
        <w:pStyle w:val="a5"/>
        <w:spacing w:after="0" w:line="288" w:lineRule="atLeast"/>
        <w:ind w:firstLine="540"/>
        <w:jc w:val="both"/>
        <w:rPr>
          <w:rFonts w:eastAsia="Times New Roman"/>
          <w:szCs w:val="28"/>
        </w:rPr>
      </w:pPr>
      <w:proofErr w:type="gramStart"/>
      <w:r w:rsidRPr="000D6588">
        <w:rPr>
          <w:rFonts w:eastAsia="Times New Roman"/>
          <w:szCs w:val="28"/>
        </w:rPr>
        <w:t xml:space="preserve">Министерство строительства Мурманской области после официального опубликования закона Мурманской области об областном бюджете на очередной финансовый год и </w:t>
      </w:r>
      <w:r w:rsidRPr="000D6588">
        <w:rPr>
          <w:rFonts w:eastAsia="Times New Roman"/>
          <w:szCs w:val="28"/>
        </w:rPr>
        <w:lastRenderedPageBreak/>
        <w:t>плановый период, но не позднее 31 декабря утверждает нормативный правовой акт, который определяет общее прогнозируемое количество денежных выплат многодетным семьям взамен предоставления им земельного участка в собственность бесплатно или в результате отказа от права собственности на земельный участок, полученный в соответствии с</w:t>
      </w:r>
      <w:proofErr w:type="gramEnd"/>
      <w:r w:rsidRPr="000D6588">
        <w:rPr>
          <w:rFonts w:eastAsia="Times New Roman"/>
          <w:szCs w:val="28"/>
        </w:rPr>
        <w:t xml:space="preserve"> </w:t>
      </w:r>
      <w:proofErr w:type="gramStart"/>
      <w:r w:rsidRPr="000D6588">
        <w:rPr>
          <w:rFonts w:eastAsia="Times New Roman"/>
          <w:szCs w:val="28"/>
        </w:rPr>
        <w:t>пунктом 1 статьи 15.1 Закона Мурманской области от 31.12.2003 № 462-01-ЗМО «Об основах регулирования земельных отношений в Мурманской области» на соответствующий финансовый год исходя из финансовой возможности областного бюджета, размера денежной выплаты многодетным семьям взамен предоставления им земельного участка в собственность бесплатно или в результате отказа от права собственности на земельный участок, полученный в соответствии с пунктом 1 статьи 15.1 Закона</w:t>
      </w:r>
      <w:proofErr w:type="gramEnd"/>
      <w:r w:rsidRPr="000D6588">
        <w:rPr>
          <w:rFonts w:eastAsia="Times New Roman"/>
          <w:szCs w:val="28"/>
        </w:rPr>
        <w:t xml:space="preserve"> </w:t>
      </w:r>
      <w:proofErr w:type="gramStart"/>
      <w:r w:rsidRPr="000D6588">
        <w:rPr>
          <w:rFonts w:eastAsia="Times New Roman"/>
          <w:szCs w:val="28"/>
        </w:rPr>
        <w:t>Мурманской области от 31.12.2003 № 462-01-ЗМО «Об основах регулирования земельных отношений в Мурманской области» и коэффициента расходов на компенсацию затрат, связанных с обеспечением деятельности органов местного самоуправления в связи с осуществлением переданных им полномочий и прогнозируемое количество денежных выплат многодетным семьям взамен предоставления им земельного участка в собственность бесплатно или в результате отказа от права собственности на земельный участок, полученный в</w:t>
      </w:r>
      <w:proofErr w:type="gramEnd"/>
      <w:r w:rsidRPr="000D6588">
        <w:rPr>
          <w:rFonts w:eastAsia="Times New Roman"/>
          <w:szCs w:val="28"/>
        </w:rPr>
        <w:t xml:space="preserve"> </w:t>
      </w:r>
      <w:proofErr w:type="gramStart"/>
      <w:r w:rsidRPr="000D6588">
        <w:rPr>
          <w:rFonts w:eastAsia="Times New Roman"/>
          <w:szCs w:val="28"/>
        </w:rPr>
        <w:t>соответствии с пунктом 1 статьи 15.1 Закона Мурманской области от 31.12.2003 № 462-01-ЗМО «Об основах регулирования земельных отношений в Мурманской области» на соответствующий финансовый год для каждого муниципального образования в соответствии с пунктом 2 Методики, установленной Законом Мурманской области от 19.12.2019 № 2454-01-ЗМО «Об отдельных мерах социальной поддержки многодетных семей и о внесении изменений в отдельные законодательные акты Мурманской области.</w:t>
      </w:r>
      <w:proofErr w:type="gramEnd"/>
    </w:p>
    <w:p w:rsidR="00A22060" w:rsidRPr="000D6588" w:rsidRDefault="00A22060" w:rsidP="00A22060">
      <w:pPr>
        <w:pStyle w:val="ConsPlusNormal"/>
        <w:jc w:val="both"/>
        <w:rPr>
          <w:szCs w:val="28"/>
          <w:lang w:eastAsia="en-US"/>
        </w:rPr>
      </w:pPr>
      <w:r w:rsidRPr="000D6588">
        <w:rPr>
          <w:szCs w:val="28"/>
          <w:lang w:eastAsia="en-US"/>
        </w:rPr>
        <w:t xml:space="preserve"> 7. Для получения субвенций муниципальные образования направляют в Министерство строительства Мурманской области заявку на предоставление субвенций по форме согласно приложению № 1 к настоящему Порядку в срок, не превышающий 5 рабочих дней со дня издания правового акта местной администрации (уполномоченного органа):</w:t>
      </w:r>
    </w:p>
    <w:p w:rsidR="00A22060" w:rsidRPr="000D6588" w:rsidRDefault="00A22060" w:rsidP="00A22060">
      <w:pPr>
        <w:pStyle w:val="ConsPlusNormal"/>
        <w:jc w:val="both"/>
        <w:rPr>
          <w:szCs w:val="28"/>
          <w:lang w:eastAsia="en-US"/>
        </w:rPr>
      </w:pPr>
      <w:r w:rsidRPr="000D6588">
        <w:rPr>
          <w:szCs w:val="28"/>
          <w:lang w:eastAsia="en-US"/>
        </w:rPr>
        <w:t xml:space="preserve">- о предоставлении многодетной семье иной меры поддержки по обеспечению жилыми помещениями, в соответствии с пунктом 4.1.3, 4.2.3 и 4.2.5 Порядка предоставления и использования иной меры социальной поддержки по обеспечению жилыми помещениями (Приложение №4); </w:t>
      </w:r>
    </w:p>
    <w:p w:rsidR="00A22060" w:rsidRPr="000D6588" w:rsidRDefault="00A22060" w:rsidP="00A22060">
      <w:pPr>
        <w:pStyle w:val="ConsPlusNormal"/>
        <w:spacing w:before="240"/>
        <w:ind w:firstLine="540"/>
        <w:jc w:val="both"/>
        <w:rPr>
          <w:szCs w:val="28"/>
          <w:lang w:eastAsia="en-US"/>
        </w:rPr>
      </w:pPr>
      <w:r w:rsidRPr="000D6588">
        <w:rPr>
          <w:szCs w:val="28"/>
          <w:lang w:eastAsia="en-US"/>
        </w:rPr>
        <w:t xml:space="preserve">- о выдаче многодетной семье земельного сертификата в соответствии с пунктом 5.3  Порядка предоставления и использования дополнительной меры социальной поддержки </w:t>
      </w:r>
      <w:proofErr w:type="gramStart"/>
      <w:r w:rsidRPr="000D6588">
        <w:rPr>
          <w:szCs w:val="28"/>
          <w:lang w:eastAsia="en-US"/>
        </w:rPr>
        <w:t>по обеспечению многодетных семей земельными участками в виде единовременной денежной выплаты на приобретение на территории Мурманской области в собственность</w:t>
      </w:r>
      <w:proofErr w:type="gramEnd"/>
      <w:r w:rsidRPr="000D6588">
        <w:rPr>
          <w:szCs w:val="28"/>
          <w:lang w:eastAsia="en-US"/>
        </w:rPr>
        <w:t xml:space="preserve"> земельного участка (Приложение № 15).</w:t>
      </w:r>
    </w:p>
    <w:p w:rsidR="0073654E" w:rsidRPr="000D6588" w:rsidRDefault="006A39A7" w:rsidP="00A22060">
      <w:pPr>
        <w:pStyle w:val="ConsPlusNormal"/>
        <w:spacing w:before="240"/>
        <w:ind w:firstLine="540"/>
        <w:jc w:val="both"/>
        <w:rPr>
          <w:sz w:val="22"/>
        </w:rPr>
      </w:pPr>
      <w:r w:rsidRPr="000D6588">
        <w:rPr>
          <w:sz w:val="22"/>
        </w:rPr>
        <w:t>8. Органы местного самоуправления имеют право дополнительно использовать собственные материальные ресурсы и финансовые средства для осуществления государственных полномочий в случаях и порядке, предусмотренных уставами муниципальных образований.</w:t>
      </w:r>
    </w:p>
    <w:p w:rsidR="0073654E" w:rsidRPr="000D6588" w:rsidRDefault="006A39A7">
      <w:pPr>
        <w:pStyle w:val="ConsPlusNormal"/>
        <w:spacing w:before="240"/>
        <w:ind w:firstLine="540"/>
        <w:jc w:val="both"/>
        <w:rPr>
          <w:sz w:val="22"/>
        </w:rPr>
      </w:pPr>
      <w:r w:rsidRPr="000D6588">
        <w:rPr>
          <w:sz w:val="22"/>
        </w:rPr>
        <w:t>9. Перечисление Субвенций в местные бюджеты в объеме, указанном в заявке, осуществляется в установленном порядке на счета территориальных органов Федерального казначейства, открытые для кассового обслуживания исполнения местных бюджетов, на лицевой счет соответствующего администратора доходов, уполномоченного на использование Субвенций.</w:t>
      </w:r>
    </w:p>
    <w:p w:rsidR="0073654E" w:rsidRPr="000D6588" w:rsidRDefault="006A39A7">
      <w:pPr>
        <w:pStyle w:val="ConsPlusNormal"/>
        <w:spacing w:before="240"/>
        <w:ind w:firstLine="540"/>
        <w:jc w:val="both"/>
        <w:rPr>
          <w:sz w:val="22"/>
        </w:rPr>
      </w:pPr>
      <w:r w:rsidRPr="000D6588">
        <w:rPr>
          <w:sz w:val="22"/>
        </w:rPr>
        <w:t>Учет операций, связанных с использованием Субвенций, осуществляется на лицевых счетах получателей средств муниципального образования, открытых в территориальном органе Федерального казначейства.</w:t>
      </w:r>
    </w:p>
    <w:p w:rsidR="00A22060" w:rsidRPr="000D6588" w:rsidRDefault="00A22060">
      <w:pPr>
        <w:pStyle w:val="ConsPlusNormal"/>
        <w:spacing w:before="240"/>
        <w:ind w:firstLine="540"/>
        <w:jc w:val="both"/>
        <w:rPr>
          <w:szCs w:val="28"/>
        </w:rPr>
      </w:pPr>
      <w:r w:rsidRPr="000D6588">
        <w:rPr>
          <w:rFonts w:eastAsia="Times New Roman"/>
          <w:szCs w:val="28"/>
        </w:rPr>
        <w:t xml:space="preserve">10. Органы местного самоуправления ежеквартально, не позднее 15-го числа месяца, следующего за отчетным кварталом, представляют в Министерство отчетность о расходовании </w:t>
      </w:r>
      <w:r w:rsidRPr="000D6588">
        <w:rPr>
          <w:szCs w:val="28"/>
        </w:rPr>
        <w:t xml:space="preserve">Субвенций согласно приложению № 2 к настоящему Порядку и копию решения о предоставлении многодетной семье единовременной денежной выплаты взамен </w:t>
      </w:r>
      <w:r w:rsidRPr="000D6588">
        <w:rPr>
          <w:szCs w:val="28"/>
        </w:rPr>
        <w:lastRenderedPageBreak/>
        <w:t>земельного участка органа местного самоуправления или о выдаче многодетной семье земельного сертификата.</w:t>
      </w:r>
    </w:p>
    <w:p w:rsidR="0073654E" w:rsidRPr="000D6588" w:rsidRDefault="006A39A7">
      <w:pPr>
        <w:pStyle w:val="ConsPlusNormal"/>
        <w:spacing w:before="240"/>
        <w:ind w:firstLine="540"/>
        <w:jc w:val="both"/>
        <w:rPr>
          <w:sz w:val="22"/>
        </w:rPr>
      </w:pPr>
      <w:r w:rsidRPr="000D6588">
        <w:rPr>
          <w:sz w:val="22"/>
        </w:rPr>
        <w:t>11. При прекращении осуществления органами местного самоуправления государственных полномочий неиспользованные остатки финансовых средств, выделенных из областного бюджета на осуществление государственных полномочий, подлежат возврату органами местного самоуправления в областной бюджет в порядке, установленном законодательством Российской Федерации и законодательством Мурманской области.</w:t>
      </w:r>
    </w:p>
    <w:p w:rsidR="0073654E" w:rsidRPr="000D6588" w:rsidRDefault="006A39A7">
      <w:pPr>
        <w:pStyle w:val="ConsPlusNormal"/>
        <w:spacing w:before="240"/>
        <w:ind w:firstLine="540"/>
        <w:jc w:val="both"/>
        <w:rPr>
          <w:sz w:val="22"/>
        </w:rPr>
      </w:pPr>
      <w:r w:rsidRPr="000D6588">
        <w:rPr>
          <w:sz w:val="22"/>
        </w:rPr>
        <w:t xml:space="preserve">При отсутствии потребности в средствах Субвенций в текущем году средства подлежат возврату органами местного самоуправления </w:t>
      </w:r>
      <w:proofErr w:type="gramStart"/>
      <w:r w:rsidRPr="000D6588">
        <w:rPr>
          <w:sz w:val="22"/>
        </w:rPr>
        <w:t>в областной бюджет для перераспределения при внесении изменений в закон Мурманской области об областном бюджете</w:t>
      </w:r>
      <w:proofErr w:type="gramEnd"/>
      <w:r w:rsidRPr="000D6588">
        <w:rPr>
          <w:sz w:val="22"/>
        </w:rPr>
        <w:t xml:space="preserve"> на очередной финансовый год и плановый период.</w:t>
      </w:r>
    </w:p>
    <w:p w:rsidR="0073654E" w:rsidRPr="000D6588" w:rsidRDefault="006A39A7">
      <w:pPr>
        <w:pStyle w:val="ConsPlusNormal"/>
        <w:spacing w:before="240"/>
        <w:ind w:firstLine="540"/>
        <w:jc w:val="both"/>
        <w:rPr>
          <w:sz w:val="22"/>
        </w:rPr>
      </w:pPr>
      <w:r w:rsidRPr="000D6588">
        <w:rPr>
          <w:sz w:val="22"/>
        </w:rPr>
        <w:t>12. В случае нецелевого использования Субвенций соответствующие средства взыскиваются в областной бюджет в соответствии с законодательством Российской Федерации.</w:t>
      </w:r>
    </w:p>
    <w:p w:rsidR="0073654E" w:rsidRPr="000D6588" w:rsidRDefault="006A39A7">
      <w:pPr>
        <w:pStyle w:val="ConsPlusNormal"/>
        <w:spacing w:before="240"/>
        <w:ind w:firstLine="540"/>
        <w:jc w:val="both"/>
        <w:rPr>
          <w:sz w:val="22"/>
        </w:rPr>
      </w:pPr>
      <w:r w:rsidRPr="000D6588">
        <w:rPr>
          <w:sz w:val="22"/>
        </w:rPr>
        <w:t xml:space="preserve">13. </w:t>
      </w:r>
      <w:proofErr w:type="gramStart"/>
      <w:r w:rsidRPr="000D6588">
        <w:rPr>
          <w:sz w:val="22"/>
        </w:rPr>
        <w:t>Контроль за</w:t>
      </w:r>
      <w:proofErr w:type="gramEnd"/>
      <w:r w:rsidRPr="000D6588">
        <w:rPr>
          <w:sz w:val="22"/>
        </w:rPr>
        <w:t xml:space="preserve"> использованием органами местного самоуправления Субвенций осуществляют исполнительный орган Мурманской области, осуществляющий функции по контролю и надзору в финансово-бюджетной сфере, и Контрольно-счетная палата Мурманской области.</w:t>
      </w:r>
    </w:p>
    <w:p w:rsidR="0073654E" w:rsidRPr="000D6588" w:rsidRDefault="00A22060" w:rsidP="00A22060">
      <w:pPr>
        <w:pStyle w:val="ConsPlusNormal"/>
        <w:spacing w:before="240"/>
        <w:ind w:firstLine="540"/>
        <w:jc w:val="both"/>
        <w:rPr>
          <w:sz w:val="22"/>
        </w:rPr>
      </w:pPr>
      <w:r w:rsidRPr="000D6588">
        <w:rPr>
          <w:rFonts w:eastAsia="Calibri"/>
          <w:szCs w:val="28"/>
          <w:lang w:eastAsia="en-US"/>
        </w:rPr>
        <w:t>14. Ответственность за несоблюдение настоящего Порядка и недостоверность представляемых в Министерство имущественных отношений Мурманской области и Министерство строительства Мурманской области сведений и эффективное использование финансовых средств возлагается на органы местного самоуправления.</w:t>
      </w:r>
    </w:p>
    <w:p w:rsidR="0073654E" w:rsidRPr="000D6588" w:rsidRDefault="0073654E">
      <w:pPr>
        <w:pStyle w:val="ConsPlusNormal"/>
        <w:jc w:val="both"/>
        <w:rPr>
          <w:sz w:val="22"/>
        </w:rPr>
      </w:pPr>
    </w:p>
    <w:p w:rsidR="0073654E" w:rsidRPr="000D6588" w:rsidRDefault="0073654E">
      <w:pPr>
        <w:pStyle w:val="ConsPlusNormal"/>
        <w:jc w:val="both"/>
        <w:rPr>
          <w:sz w:val="22"/>
        </w:rPr>
      </w:pPr>
    </w:p>
    <w:p w:rsidR="00A22060" w:rsidRPr="000D6588" w:rsidRDefault="00A22060" w:rsidP="00A22060">
      <w:pPr>
        <w:pStyle w:val="ConsPlusNormal"/>
        <w:jc w:val="right"/>
        <w:outlineLvl w:val="1"/>
      </w:pPr>
      <w:r w:rsidRPr="000D6588">
        <w:t>Приложение № 1</w:t>
      </w:r>
    </w:p>
    <w:p w:rsidR="00A22060" w:rsidRPr="000D6588" w:rsidRDefault="00A22060" w:rsidP="00A22060">
      <w:pPr>
        <w:pStyle w:val="ConsPlusNormal"/>
        <w:jc w:val="right"/>
      </w:pPr>
      <w:r w:rsidRPr="000D6588">
        <w:t>к Порядку</w:t>
      </w:r>
    </w:p>
    <w:p w:rsidR="00A22060" w:rsidRPr="000D6588" w:rsidRDefault="00A22060" w:rsidP="00A22060">
      <w:pPr>
        <w:pStyle w:val="ConsPlusNormal"/>
        <w:jc w:val="both"/>
      </w:pPr>
    </w:p>
    <w:p w:rsidR="00A22060" w:rsidRPr="000D6588" w:rsidRDefault="00A22060" w:rsidP="00A22060">
      <w:pPr>
        <w:pStyle w:val="ConsPlusNormal"/>
        <w:jc w:val="center"/>
      </w:pPr>
      <w:bookmarkStart w:id="1" w:name="P49"/>
      <w:bookmarkEnd w:id="1"/>
      <w:r w:rsidRPr="000D6588">
        <w:t>ЗАЯВКА</w:t>
      </w:r>
    </w:p>
    <w:p w:rsidR="00A22060" w:rsidRPr="000D6588" w:rsidRDefault="00A22060" w:rsidP="00A22060">
      <w:pPr>
        <w:pStyle w:val="ConsPlusNormal"/>
        <w:jc w:val="center"/>
      </w:pPr>
      <w:r w:rsidRPr="000D6588">
        <w:t>НА ПРЕДОСТАВЛЕНИЕ СУБВЕНЦИЙ</w:t>
      </w:r>
    </w:p>
    <w:p w:rsidR="00A22060" w:rsidRPr="000D6588" w:rsidRDefault="00A22060" w:rsidP="00A22060">
      <w:pPr>
        <w:pStyle w:val="ConsPlusNormal"/>
        <w:jc w:val="center"/>
      </w:pPr>
      <w:r w:rsidRPr="000D6588">
        <w:t>____________________________________________</w:t>
      </w:r>
    </w:p>
    <w:p w:rsidR="00A22060" w:rsidRPr="000D6588" w:rsidRDefault="00A22060" w:rsidP="00A22060">
      <w:pPr>
        <w:pStyle w:val="ConsPlusNormal"/>
        <w:jc w:val="center"/>
      </w:pPr>
      <w:r w:rsidRPr="000D6588">
        <w:t>(муниципальное образование)</w:t>
      </w:r>
    </w:p>
    <w:p w:rsidR="00A22060" w:rsidRPr="000D6588" w:rsidRDefault="00A22060" w:rsidP="00A22060">
      <w:pPr>
        <w:pStyle w:val="ConsPlusNormal"/>
        <w:tabs>
          <w:tab w:val="left" w:pos="8789"/>
          <w:tab w:val="left" w:pos="10348"/>
        </w:tabs>
        <w:ind w:right="-1"/>
        <w:jc w:val="right"/>
        <w:rPr>
          <w:i/>
        </w:rPr>
      </w:pPr>
      <w:r w:rsidRPr="000D6588">
        <w:rPr>
          <w:i/>
        </w:rPr>
        <w:t>Руб.</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92"/>
        <w:gridCol w:w="2409"/>
      </w:tblGrid>
      <w:tr w:rsidR="00A22060" w:rsidRPr="000D6588" w:rsidTr="00637AA0">
        <w:tc>
          <w:tcPr>
            <w:tcW w:w="7292" w:type="dxa"/>
            <w:vAlign w:val="center"/>
          </w:tcPr>
          <w:p w:rsidR="00A22060" w:rsidRPr="000D6588" w:rsidRDefault="00A22060" w:rsidP="00637AA0">
            <w:pPr>
              <w:pStyle w:val="ConsPlusNormal"/>
              <w:ind w:left="142" w:firstLine="142"/>
              <w:jc w:val="both"/>
              <w:rPr>
                <w:sz w:val="22"/>
              </w:rPr>
            </w:pPr>
            <w:r w:rsidRPr="000D6588">
              <w:rPr>
                <w:sz w:val="22"/>
              </w:rPr>
              <w:t>Общая сумма субвенции</w:t>
            </w:r>
            <w:r w:rsidRPr="000D6588">
              <w:rPr>
                <w:sz w:val="22"/>
                <w:szCs w:val="28"/>
              </w:rPr>
              <w:t xml:space="preserve"> из областного бюджета местным бюджетам на осуществление государственных полномочий Мурманской области</w:t>
            </w:r>
            <w:r w:rsidRPr="000D6588">
              <w:rPr>
                <w:sz w:val="22"/>
              </w:rPr>
              <w:t xml:space="preserve"> по предоставлению многодетным семьям иной меры поддержки по обеспечению жилыми помещениями или дополнительной меры поддержки по обеспечению земельными участками</w:t>
            </w:r>
            <w:r w:rsidRPr="000D6588">
              <w:rPr>
                <w:sz w:val="22"/>
                <w:szCs w:val="28"/>
              </w:rPr>
              <w:t xml:space="preserve"> на 20__год</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142" w:firstLine="142"/>
              <w:jc w:val="both"/>
              <w:rPr>
                <w:sz w:val="22"/>
              </w:rPr>
            </w:pPr>
            <w:r w:rsidRPr="000D6588">
              <w:rPr>
                <w:sz w:val="22"/>
              </w:rPr>
              <w:t>Доведено ПОФ из областного бюджета</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709" w:hanging="425"/>
              <w:rPr>
                <w:sz w:val="22"/>
              </w:rPr>
            </w:pPr>
            <w:r w:rsidRPr="000D6588">
              <w:rPr>
                <w:sz w:val="22"/>
              </w:rPr>
              <w:t xml:space="preserve">Объем необходимых денежных средств, </w:t>
            </w:r>
            <w:r w:rsidRPr="000D6588">
              <w:rPr>
                <w:sz w:val="22"/>
              </w:rPr>
              <w:br/>
              <w:t xml:space="preserve">в том числе: </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709"/>
              <w:jc w:val="both"/>
              <w:rPr>
                <w:sz w:val="22"/>
              </w:rPr>
            </w:pPr>
            <w:r w:rsidRPr="000D6588">
              <w:rPr>
                <w:sz w:val="22"/>
              </w:rPr>
              <w:t>объем средств областного бюджета, необходимый на осуществление государственных полномочий по предоставлению многодетным семьям иной меры поддержки по обеспечению жилыми помещениями</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709"/>
              <w:jc w:val="both"/>
              <w:rPr>
                <w:sz w:val="22"/>
              </w:rPr>
            </w:pPr>
            <w:r w:rsidRPr="000D6588">
              <w:rPr>
                <w:sz w:val="22"/>
              </w:rPr>
              <w:t>объем средств областного бюджета, необходимый на осуществление государственных полномочий по предоставлению многодетным семьям дополнительной меры поддержки по обеспечению земельными участками</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709"/>
              <w:jc w:val="both"/>
              <w:rPr>
                <w:sz w:val="22"/>
              </w:rPr>
            </w:pPr>
            <w:r w:rsidRPr="000D6588">
              <w:rPr>
                <w:sz w:val="22"/>
              </w:rPr>
              <w:t xml:space="preserve">объем средств областного бюджета, необходимый на компенсацию </w:t>
            </w:r>
            <w:r w:rsidRPr="000D6588">
              <w:rPr>
                <w:sz w:val="22"/>
              </w:rPr>
              <w:lastRenderedPageBreak/>
              <w:t>затрат, связанных с обеспечением деятельности органов местного самоуправления по осуществлению отдельных государственных полномочий Мурманской области по предоставлению многодетным семьям иной меры поддержки по обеспечению жилыми помещениями или дополнительной меры поддержки по обеспечению земельными участками (с указанием срока выплаты)</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a5"/>
              <w:spacing w:after="0" w:line="322" w:lineRule="atLeast"/>
              <w:ind w:firstLine="603"/>
              <w:jc w:val="both"/>
              <w:rPr>
                <w:rFonts w:eastAsia="Times New Roman"/>
                <w:sz w:val="22"/>
                <w:szCs w:val="20"/>
                <w:lang w:eastAsia="ru-RU"/>
              </w:rPr>
            </w:pPr>
            <w:r w:rsidRPr="000D6588">
              <w:rPr>
                <w:rFonts w:eastAsia="Times New Roman"/>
                <w:sz w:val="22"/>
                <w:szCs w:val="20"/>
                <w:lang w:eastAsia="ru-RU"/>
              </w:rPr>
              <w:lastRenderedPageBreak/>
              <w:t>Дата издания правового акта местной администрации (уполномоченного органа) решения о предоставлении многодетной семье единовременной денежной выплаты взамен земельного участка</w:t>
            </w:r>
            <w:r w:rsidRPr="000D6588">
              <w:rPr>
                <w:sz w:val="22"/>
              </w:rPr>
              <w:t>*</w:t>
            </w:r>
          </w:p>
        </w:tc>
        <w:tc>
          <w:tcPr>
            <w:tcW w:w="2409" w:type="dxa"/>
          </w:tcPr>
          <w:p w:rsidR="00A22060" w:rsidRPr="000D6588" w:rsidRDefault="00A22060" w:rsidP="00637AA0">
            <w:pPr>
              <w:pStyle w:val="ConsPlusNormal"/>
              <w:rPr>
                <w:sz w:val="22"/>
              </w:rPr>
            </w:pPr>
          </w:p>
        </w:tc>
      </w:tr>
      <w:tr w:rsidR="00A22060" w:rsidRPr="000D6588" w:rsidTr="00637AA0">
        <w:tc>
          <w:tcPr>
            <w:tcW w:w="7292" w:type="dxa"/>
            <w:vAlign w:val="center"/>
          </w:tcPr>
          <w:p w:rsidR="00A22060" w:rsidRPr="000D6588" w:rsidRDefault="00A22060" w:rsidP="00637AA0">
            <w:pPr>
              <w:pStyle w:val="ConsPlusNormal"/>
              <w:ind w:left="142"/>
              <w:jc w:val="both"/>
              <w:rPr>
                <w:sz w:val="22"/>
              </w:rPr>
            </w:pPr>
            <w:r w:rsidRPr="000D6588">
              <w:rPr>
                <w:sz w:val="22"/>
              </w:rPr>
              <w:t>Дата издания правового акта местной администрации (уполномоченного органа) о выдаче многодетной семье земельного сертификата**</w:t>
            </w:r>
          </w:p>
        </w:tc>
        <w:tc>
          <w:tcPr>
            <w:tcW w:w="2409" w:type="dxa"/>
          </w:tcPr>
          <w:p w:rsidR="00A22060" w:rsidRPr="000D6588" w:rsidRDefault="00A22060" w:rsidP="00637AA0">
            <w:pPr>
              <w:pStyle w:val="ConsPlusNormal"/>
              <w:rPr>
                <w:sz w:val="22"/>
              </w:rPr>
            </w:pPr>
          </w:p>
        </w:tc>
      </w:tr>
    </w:tbl>
    <w:p w:rsidR="00A22060" w:rsidRPr="000D6588" w:rsidRDefault="00A22060" w:rsidP="00A22060">
      <w:pPr>
        <w:pStyle w:val="ConsPlusNormal"/>
        <w:jc w:val="both"/>
        <w:rPr>
          <w:i/>
          <w:sz w:val="20"/>
          <w:szCs w:val="28"/>
        </w:rPr>
      </w:pPr>
      <w:r w:rsidRPr="000D6588">
        <w:rPr>
          <w:i/>
          <w:sz w:val="20"/>
          <w:szCs w:val="28"/>
        </w:rPr>
        <w:t>* в соответствии с пунктом 4.1.3 и 4.2.7 Правил предоставления и использования единовременной денежной выплаты многодетным семьям на улучшение жилищных условий (Приложение № 4)</w:t>
      </w:r>
    </w:p>
    <w:p w:rsidR="00A22060" w:rsidRPr="000D6588" w:rsidRDefault="00A22060" w:rsidP="00A22060">
      <w:pPr>
        <w:pStyle w:val="ConsPlusNormal"/>
        <w:jc w:val="both"/>
        <w:rPr>
          <w:i/>
          <w:sz w:val="20"/>
          <w:szCs w:val="28"/>
        </w:rPr>
      </w:pPr>
      <w:r w:rsidRPr="000D6588">
        <w:rPr>
          <w:i/>
          <w:sz w:val="20"/>
          <w:szCs w:val="28"/>
        </w:rPr>
        <w:t xml:space="preserve">** в соответствии с пунктом 3.4.3 Правил предоставления и использования дополнительной меры социальной поддержки </w:t>
      </w:r>
      <w:proofErr w:type="gramStart"/>
      <w:r w:rsidRPr="000D6588">
        <w:rPr>
          <w:i/>
          <w:sz w:val="20"/>
          <w:szCs w:val="28"/>
        </w:rPr>
        <w:t>по обеспечению многодетных семей земельными участками в виде единовременной денежной выплаты на приобретение на территории Мурманской области в собственность</w:t>
      </w:r>
      <w:proofErr w:type="gramEnd"/>
      <w:r w:rsidRPr="000D6588">
        <w:rPr>
          <w:i/>
          <w:sz w:val="20"/>
          <w:szCs w:val="28"/>
        </w:rPr>
        <w:t xml:space="preserve"> земельного участка (Приложение № 15)</w:t>
      </w:r>
    </w:p>
    <w:p w:rsidR="00A22060" w:rsidRPr="000D6588" w:rsidRDefault="00A22060" w:rsidP="00A22060">
      <w:pPr>
        <w:pStyle w:val="ConsPlusNormal"/>
        <w:jc w:val="both"/>
        <w:rPr>
          <w:i/>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3040"/>
        <w:gridCol w:w="3402"/>
      </w:tblGrid>
      <w:tr w:rsidR="00A22060" w:rsidRPr="000D6588" w:rsidTr="00637AA0">
        <w:tc>
          <w:tcPr>
            <w:tcW w:w="4252" w:type="dxa"/>
            <w:vAlign w:val="bottom"/>
          </w:tcPr>
          <w:p w:rsidR="00A22060" w:rsidRPr="000D6588" w:rsidRDefault="00A22060" w:rsidP="00637AA0">
            <w:pPr>
              <w:pStyle w:val="ConsPlusNormal"/>
              <w:ind w:left="284"/>
            </w:pPr>
            <w:r w:rsidRPr="000D6588">
              <w:t>Глава администрации муниципального образования</w:t>
            </w:r>
          </w:p>
        </w:tc>
        <w:tc>
          <w:tcPr>
            <w:tcW w:w="3040" w:type="dxa"/>
            <w:vAlign w:val="bottom"/>
          </w:tcPr>
          <w:p w:rsidR="00A22060" w:rsidRPr="000D6588" w:rsidRDefault="00A22060" w:rsidP="00637AA0">
            <w:pPr>
              <w:pStyle w:val="ConsPlusNormal"/>
              <w:ind w:firstLine="1"/>
              <w:jc w:val="center"/>
            </w:pPr>
          </w:p>
          <w:p w:rsidR="00A22060" w:rsidRPr="000D6588" w:rsidRDefault="00A22060" w:rsidP="00637AA0">
            <w:pPr>
              <w:pStyle w:val="ConsPlusNormal"/>
              <w:ind w:firstLine="1"/>
              <w:jc w:val="center"/>
            </w:pPr>
            <w:r w:rsidRPr="000D6588">
              <w:t>____________________</w:t>
            </w:r>
          </w:p>
        </w:tc>
        <w:tc>
          <w:tcPr>
            <w:tcW w:w="3402" w:type="dxa"/>
            <w:vAlign w:val="bottom"/>
          </w:tcPr>
          <w:p w:rsidR="00A22060" w:rsidRPr="000D6588" w:rsidRDefault="00A22060" w:rsidP="00637AA0">
            <w:pPr>
              <w:pStyle w:val="ConsPlusNormal"/>
              <w:jc w:val="center"/>
            </w:pPr>
            <w:r w:rsidRPr="000D6588">
              <w:t>(Ф.И.О.)</w:t>
            </w:r>
          </w:p>
        </w:tc>
      </w:tr>
      <w:tr w:rsidR="00A22060" w:rsidRPr="000D6588" w:rsidTr="00637AA0">
        <w:trPr>
          <w:trHeight w:val="283"/>
        </w:trPr>
        <w:tc>
          <w:tcPr>
            <w:tcW w:w="4252" w:type="dxa"/>
            <w:vAlign w:val="bottom"/>
          </w:tcPr>
          <w:p w:rsidR="00A22060" w:rsidRPr="000D6588" w:rsidRDefault="00A22060" w:rsidP="00637AA0">
            <w:pPr>
              <w:pStyle w:val="ConsPlusNormal"/>
            </w:pPr>
            <w:r w:rsidRPr="000D6588">
              <w:t>МП</w:t>
            </w:r>
          </w:p>
        </w:tc>
        <w:tc>
          <w:tcPr>
            <w:tcW w:w="6442" w:type="dxa"/>
            <w:gridSpan w:val="2"/>
          </w:tcPr>
          <w:p w:rsidR="00A22060" w:rsidRPr="000D6588" w:rsidRDefault="00A22060" w:rsidP="00637AA0">
            <w:pPr>
              <w:pStyle w:val="ConsPlusNormal"/>
              <w:rPr>
                <w:sz w:val="22"/>
              </w:rPr>
            </w:pPr>
            <w:r w:rsidRPr="000D6588">
              <w:rPr>
                <w:sz w:val="22"/>
              </w:rPr>
              <w:t xml:space="preserve">      Подпись</w:t>
            </w:r>
          </w:p>
        </w:tc>
      </w:tr>
    </w:tbl>
    <w:p w:rsidR="00A22060" w:rsidRPr="000D6588" w:rsidRDefault="00A22060" w:rsidP="00A22060">
      <w:pPr>
        <w:pStyle w:val="a5"/>
        <w:spacing w:after="0" w:line="240" w:lineRule="auto"/>
        <w:ind w:firstLine="709"/>
        <w:jc w:val="both"/>
        <w:rPr>
          <w:szCs w:val="28"/>
        </w:rPr>
      </w:pPr>
    </w:p>
    <w:p w:rsidR="00A22060" w:rsidRPr="000D6588" w:rsidRDefault="00A22060" w:rsidP="00A22060">
      <w:pPr>
        <w:pStyle w:val="a5"/>
        <w:spacing w:after="0" w:line="240" w:lineRule="auto"/>
        <w:ind w:firstLine="709"/>
        <w:jc w:val="both"/>
        <w:rPr>
          <w:szCs w:val="28"/>
        </w:rPr>
      </w:pPr>
    </w:p>
    <w:p w:rsidR="00A22060" w:rsidRPr="000D6588" w:rsidRDefault="00A22060" w:rsidP="00A22060">
      <w:pPr>
        <w:pStyle w:val="a5"/>
        <w:spacing w:after="0" w:line="240" w:lineRule="auto"/>
        <w:ind w:firstLine="709"/>
        <w:jc w:val="both"/>
        <w:rPr>
          <w:szCs w:val="28"/>
        </w:rPr>
      </w:pPr>
    </w:p>
    <w:p w:rsidR="00A22060" w:rsidRPr="000D6588" w:rsidRDefault="00A22060" w:rsidP="00A22060">
      <w:pPr>
        <w:pStyle w:val="a5"/>
        <w:spacing w:after="0" w:line="240" w:lineRule="auto"/>
        <w:ind w:firstLine="709"/>
        <w:jc w:val="both"/>
        <w:rPr>
          <w:szCs w:val="28"/>
        </w:rPr>
        <w:sectPr w:rsidR="00A22060" w:rsidRPr="000D6588" w:rsidSect="00863471">
          <w:pgSz w:w="11906" w:h="16838"/>
          <w:pgMar w:top="851" w:right="1418" w:bottom="1134" w:left="851" w:header="567" w:footer="567" w:gutter="0"/>
          <w:cols w:space="708"/>
          <w:titlePg/>
          <w:docGrid w:linePitch="360"/>
        </w:sectPr>
      </w:pPr>
    </w:p>
    <w:p w:rsidR="00A22060" w:rsidRPr="000D6588" w:rsidRDefault="00A22060" w:rsidP="00A22060">
      <w:pPr>
        <w:pStyle w:val="ConsPlusNormal"/>
        <w:jc w:val="right"/>
        <w:outlineLvl w:val="1"/>
      </w:pPr>
      <w:r w:rsidRPr="000D6588">
        <w:lastRenderedPageBreak/>
        <w:t>Приложение № 2</w:t>
      </w:r>
    </w:p>
    <w:p w:rsidR="00A22060" w:rsidRPr="000D6588" w:rsidRDefault="00A22060" w:rsidP="00A22060">
      <w:pPr>
        <w:pStyle w:val="ConsPlusNormal"/>
        <w:jc w:val="right"/>
      </w:pPr>
      <w:r w:rsidRPr="000D6588">
        <w:t>к Порядку</w:t>
      </w:r>
    </w:p>
    <w:p w:rsidR="00A22060" w:rsidRPr="000D6588" w:rsidRDefault="00A22060" w:rsidP="00A22060">
      <w:pPr>
        <w:pStyle w:val="a5"/>
        <w:spacing w:after="0" w:line="240" w:lineRule="auto"/>
        <w:ind w:firstLine="709"/>
        <w:jc w:val="both"/>
        <w:rPr>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09"/>
        <w:gridCol w:w="1701"/>
        <w:gridCol w:w="1559"/>
        <w:gridCol w:w="993"/>
        <w:gridCol w:w="1134"/>
        <w:gridCol w:w="1581"/>
        <w:gridCol w:w="1112"/>
        <w:gridCol w:w="1253"/>
        <w:gridCol w:w="970"/>
        <w:gridCol w:w="895"/>
        <w:gridCol w:w="1134"/>
      </w:tblGrid>
      <w:tr w:rsidR="00A22060" w:rsidRPr="000D6588" w:rsidTr="00637AA0">
        <w:trPr>
          <w:trHeight w:val="541"/>
        </w:trPr>
        <w:tc>
          <w:tcPr>
            <w:tcW w:w="14992" w:type="dxa"/>
            <w:gridSpan w:val="12"/>
          </w:tcPr>
          <w:p w:rsidR="00A22060" w:rsidRPr="000D6588" w:rsidRDefault="00A22060" w:rsidP="00637AA0">
            <w:pPr>
              <w:spacing w:before="240" w:after="240"/>
              <w:jc w:val="center"/>
              <w:rPr>
                <w:rFonts w:ascii="Times New Roman" w:hAnsi="Times New Roman" w:cs="Times New Roman"/>
                <w:b/>
                <w:sz w:val="18"/>
                <w:szCs w:val="20"/>
              </w:rPr>
            </w:pPr>
            <w:r w:rsidRPr="000D6588">
              <w:rPr>
                <w:rFonts w:ascii="Times New Roman" w:hAnsi="Times New Roman" w:cs="Times New Roman"/>
                <w:b/>
                <w:sz w:val="18"/>
                <w:szCs w:val="20"/>
              </w:rPr>
              <w:t>Отчет о расходовании субвенций</w:t>
            </w:r>
          </w:p>
        </w:tc>
      </w:tr>
      <w:tr w:rsidR="00A22060" w:rsidRPr="000D6588" w:rsidTr="00637AA0">
        <w:tc>
          <w:tcPr>
            <w:tcW w:w="1951" w:type="dxa"/>
            <w:vMerge w:val="restart"/>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Численность семей, воспользовавшихся предоставлением иной меры социальной поддержки по обеспечению жилыми помещениями и дополнительной мерой поддержки по обеспечению земельными участками</w:t>
            </w:r>
          </w:p>
        </w:tc>
        <w:tc>
          <w:tcPr>
            <w:tcW w:w="709" w:type="dxa"/>
            <w:vMerge w:val="restart"/>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В том числе за отчетный период</w:t>
            </w:r>
          </w:p>
        </w:tc>
        <w:tc>
          <w:tcPr>
            <w:tcW w:w="6968" w:type="dxa"/>
            <w:gridSpan w:val="5"/>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Размер субвенций муниципальному образованию (тыс. руб.)</w:t>
            </w:r>
          </w:p>
        </w:tc>
        <w:tc>
          <w:tcPr>
            <w:tcW w:w="5364" w:type="dxa"/>
            <w:gridSpan w:val="5"/>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Форма реализации выплат, штук/суммарный объем выплат</w:t>
            </w:r>
          </w:p>
        </w:tc>
      </w:tr>
      <w:tr w:rsidR="00A22060" w:rsidRPr="000D6588" w:rsidTr="00637AA0">
        <w:tc>
          <w:tcPr>
            <w:tcW w:w="1951" w:type="dxa"/>
            <w:vMerge/>
            <w:vAlign w:val="center"/>
          </w:tcPr>
          <w:p w:rsidR="00A22060" w:rsidRPr="000D6588" w:rsidRDefault="00A22060" w:rsidP="00637AA0">
            <w:pPr>
              <w:jc w:val="center"/>
              <w:rPr>
                <w:rFonts w:ascii="Times New Roman" w:hAnsi="Times New Roman" w:cs="Times New Roman"/>
                <w:sz w:val="18"/>
                <w:szCs w:val="20"/>
              </w:rPr>
            </w:pPr>
          </w:p>
        </w:tc>
        <w:tc>
          <w:tcPr>
            <w:tcW w:w="709" w:type="dxa"/>
            <w:vMerge/>
            <w:vAlign w:val="center"/>
          </w:tcPr>
          <w:p w:rsidR="00A22060" w:rsidRPr="000D6588" w:rsidRDefault="00A22060" w:rsidP="00637AA0">
            <w:pPr>
              <w:jc w:val="center"/>
              <w:rPr>
                <w:rFonts w:ascii="Times New Roman" w:hAnsi="Times New Roman" w:cs="Times New Roman"/>
                <w:sz w:val="18"/>
                <w:szCs w:val="20"/>
              </w:rPr>
            </w:pPr>
          </w:p>
        </w:tc>
        <w:tc>
          <w:tcPr>
            <w:tcW w:w="1701" w:type="dxa"/>
            <w:vMerge w:val="restart"/>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 xml:space="preserve">Субвенции бюджету муниципального образования, </w:t>
            </w:r>
            <w:proofErr w:type="gramStart"/>
            <w:r w:rsidRPr="000D6588">
              <w:rPr>
                <w:rFonts w:ascii="Times New Roman" w:hAnsi="Times New Roman" w:cs="Times New Roman"/>
                <w:sz w:val="18"/>
                <w:szCs w:val="20"/>
              </w:rPr>
              <w:t>предусмотренная</w:t>
            </w:r>
            <w:proofErr w:type="gramEnd"/>
            <w:r w:rsidRPr="000D6588">
              <w:rPr>
                <w:rFonts w:ascii="Times New Roman" w:hAnsi="Times New Roman" w:cs="Times New Roman"/>
                <w:sz w:val="18"/>
                <w:szCs w:val="20"/>
              </w:rPr>
              <w:t xml:space="preserve"> законом об областном бюджете на очередной финансовый год и плановый период</w:t>
            </w:r>
          </w:p>
          <w:p w:rsidR="00A22060" w:rsidRPr="000D6588" w:rsidRDefault="00A22060" w:rsidP="00637AA0">
            <w:pPr>
              <w:jc w:val="center"/>
              <w:rPr>
                <w:rFonts w:ascii="Times New Roman" w:hAnsi="Times New Roman" w:cs="Times New Roman"/>
                <w:sz w:val="18"/>
                <w:szCs w:val="20"/>
                <w:lang w:eastAsia="en-US"/>
              </w:rPr>
            </w:pPr>
          </w:p>
        </w:tc>
        <w:tc>
          <w:tcPr>
            <w:tcW w:w="1559" w:type="dxa"/>
            <w:vMerge w:val="restart"/>
            <w:vAlign w:val="center"/>
          </w:tcPr>
          <w:p w:rsidR="00A22060" w:rsidRPr="000D6588" w:rsidRDefault="00A22060" w:rsidP="00637AA0">
            <w:pPr>
              <w:jc w:val="center"/>
              <w:rPr>
                <w:rFonts w:ascii="Times New Roman" w:hAnsi="Times New Roman" w:cs="Times New Roman"/>
                <w:sz w:val="18"/>
                <w:szCs w:val="20"/>
              </w:rPr>
            </w:pPr>
            <w:r w:rsidRPr="000D6588">
              <w:rPr>
                <w:rFonts w:ascii="Times New Roman" w:hAnsi="Times New Roman" w:cs="Times New Roman"/>
                <w:sz w:val="18"/>
                <w:szCs w:val="20"/>
              </w:rPr>
              <w:t>Перечислено из областного бюджета бюджетам муниципальных образований с начала года</w:t>
            </w:r>
          </w:p>
        </w:tc>
        <w:tc>
          <w:tcPr>
            <w:tcW w:w="2127" w:type="dxa"/>
            <w:gridSpan w:val="2"/>
            <w:vAlign w:val="center"/>
          </w:tcPr>
          <w:p w:rsidR="00A22060" w:rsidRPr="000D6588" w:rsidRDefault="00A22060" w:rsidP="00637AA0">
            <w:pPr>
              <w:pStyle w:val="a5"/>
              <w:spacing w:after="0" w:line="240" w:lineRule="auto"/>
              <w:jc w:val="center"/>
              <w:rPr>
                <w:sz w:val="18"/>
                <w:szCs w:val="20"/>
              </w:rPr>
            </w:pPr>
            <w:r w:rsidRPr="000D6588">
              <w:rPr>
                <w:sz w:val="18"/>
                <w:szCs w:val="20"/>
              </w:rPr>
              <w:t>В том числе на предоставление:</w:t>
            </w:r>
          </w:p>
        </w:tc>
        <w:tc>
          <w:tcPr>
            <w:tcW w:w="1581" w:type="dxa"/>
            <w:vMerge w:val="restart"/>
            <w:vAlign w:val="center"/>
          </w:tcPr>
          <w:p w:rsidR="00A22060" w:rsidRPr="000D6588" w:rsidRDefault="00A22060" w:rsidP="00637AA0">
            <w:pPr>
              <w:pStyle w:val="a5"/>
              <w:spacing w:after="0" w:line="240" w:lineRule="auto"/>
              <w:jc w:val="center"/>
              <w:rPr>
                <w:sz w:val="18"/>
                <w:szCs w:val="20"/>
              </w:rPr>
            </w:pPr>
            <w:r w:rsidRPr="000D6588">
              <w:rPr>
                <w:sz w:val="18"/>
                <w:szCs w:val="20"/>
              </w:rPr>
              <w:t>Произведено расходов по обеспечению жильем всего с начала года (фактические расходы)</w:t>
            </w:r>
          </w:p>
        </w:tc>
        <w:tc>
          <w:tcPr>
            <w:tcW w:w="1112" w:type="dxa"/>
            <w:vMerge w:val="restart"/>
            <w:vAlign w:val="center"/>
          </w:tcPr>
          <w:p w:rsidR="00A22060" w:rsidRPr="000D6588" w:rsidRDefault="00A22060" w:rsidP="00637AA0">
            <w:pPr>
              <w:pStyle w:val="a5"/>
              <w:spacing w:after="0" w:line="240" w:lineRule="auto"/>
              <w:jc w:val="center"/>
              <w:rPr>
                <w:sz w:val="18"/>
                <w:szCs w:val="20"/>
              </w:rPr>
            </w:pPr>
            <w:r w:rsidRPr="000D6588">
              <w:rPr>
                <w:sz w:val="18"/>
                <w:szCs w:val="20"/>
              </w:rPr>
              <w:t>Приобретение жилого помещения на вторичном рынке</w:t>
            </w:r>
          </w:p>
        </w:tc>
        <w:tc>
          <w:tcPr>
            <w:tcW w:w="1253" w:type="dxa"/>
            <w:vMerge w:val="restart"/>
            <w:vAlign w:val="center"/>
          </w:tcPr>
          <w:p w:rsidR="00A22060" w:rsidRPr="000D6588" w:rsidRDefault="00A22060" w:rsidP="00637AA0">
            <w:pPr>
              <w:pStyle w:val="a5"/>
              <w:spacing w:after="0" w:line="240" w:lineRule="auto"/>
              <w:jc w:val="center"/>
              <w:rPr>
                <w:sz w:val="18"/>
                <w:szCs w:val="20"/>
              </w:rPr>
            </w:pPr>
            <w:r w:rsidRPr="000D6588">
              <w:rPr>
                <w:sz w:val="18"/>
                <w:szCs w:val="20"/>
              </w:rPr>
              <w:t>Жилье на первичном рынке (указать условия: ипотека, долевое участие, др.)</w:t>
            </w:r>
          </w:p>
        </w:tc>
        <w:tc>
          <w:tcPr>
            <w:tcW w:w="2999" w:type="dxa"/>
            <w:gridSpan w:val="3"/>
            <w:vAlign w:val="center"/>
          </w:tcPr>
          <w:p w:rsidR="00A22060" w:rsidRPr="000D6588" w:rsidRDefault="00A22060" w:rsidP="00637AA0">
            <w:pPr>
              <w:pStyle w:val="a5"/>
              <w:spacing w:after="0" w:line="240" w:lineRule="auto"/>
              <w:jc w:val="center"/>
              <w:rPr>
                <w:sz w:val="18"/>
                <w:szCs w:val="20"/>
              </w:rPr>
            </w:pPr>
            <w:r w:rsidRPr="000D6588">
              <w:rPr>
                <w:sz w:val="18"/>
                <w:szCs w:val="20"/>
              </w:rPr>
              <w:t>на приобретение на территории Мурманской области в собственность земельного участка (количество)</w:t>
            </w:r>
          </w:p>
        </w:tc>
      </w:tr>
      <w:tr w:rsidR="00A22060" w:rsidRPr="003A10D0" w:rsidTr="00637AA0">
        <w:tc>
          <w:tcPr>
            <w:tcW w:w="1951" w:type="dxa"/>
            <w:vMerge/>
            <w:vAlign w:val="center"/>
          </w:tcPr>
          <w:p w:rsidR="00A22060" w:rsidRPr="000D6588" w:rsidRDefault="00A22060" w:rsidP="00637AA0">
            <w:pPr>
              <w:pStyle w:val="a5"/>
              <w:spacing w:after="0" w:line="240" w:lineRule="auto"/>
              <w:jc w:val="center"/>
              <w:rPr>
                <w:sz w:val="18"/>
                <w:szCs w:val="20"/>
              </w:rPr>
            </w:pPr>
          </w:p>
        </w:tc>
        <w:tc>
          <w:tcPr>
            <w:tcW w:w="709" w:type="dxa"/>
            <w:vMerge/>
            <w:vAlign w:val="center"/>
          </w:tcPr>
          <w:p w:rsidR="00A22060" w:rsidRPr="000D6588" w:rsidRDefault="00A22060" w:rsidP="00637AA0">
            <w:pPr>
              <w:pStyle w:val="a5"/>
              <w:spacing w:after="0" w:line="240" w:lineRule="auto"/>
              <w:jc w:val="center"/>
              <w:rPr>
                <w:sz w:val="18"/>
                <w:szCs w:val="20"/>
              </w:rPr>
            </w:pPr>
          </w:p>
        </w:tc>
        <w:tc>
          <w:tcPr>
            <w:tcW w:w="1701" w:type="dxa"/>
            <w:vMerge/>
            <w:vAlign w:val="center"/>
          </w:tcPr>
          <w:p w:rsidR="00A22060" w:rsidRPr="000D6588" w:rsidRDefault="00A22060" w:rsidP="00637AA0">
            <w:pPr>
              <w:pStyle w:val="a5"/>
              <w:spacing w:after="0" w:line="240" w:lineRule="auto"/>
              <w:jc w:val="center"/>
              <w:rPr>
                <w:sz w:val="18"/>
                <w:szCs w:val="20"/>
              </w:rPr>
            </w:pPr>
          </w:p>
        </w:tc>
        <w:tc>
          <w:tcPr>
            <w:tcW w:w="1559" w:type="dxa"/>
            <w:vMerge/>
            <w:vAlign w:val="center"/>
          </w:tcPr>
          <w:p w:rsidR="00A22060" w:rsidRPr="000D6588" w:rsidRDefault="00A22060" w:rsidP="00637AA0">
            <w:pPr>
              <w:pStyle w:val="a5"/>
              <w:spacing w:after="0" w:line="240" w:lineRule="auto"/>
              <w:jc w:val="center"/>
              <w:rPr>
                <w:sz w:val="18"/>
                <w:szCs w:val="20"/>
              </w:rPr>
            </w:pPr>
          </w:p>
        </w:tc>
        <w:tc>
          <w:tcPr>
            <w:tcW w:w="993" w:type="dxa"/>
            <w:vAlign w:val="center"/>
          </w:tcPr>
          <w:p w:rsidR="00A22060" w:rsidRPr="000D6588" w:rsidRDefault="00A22060" w:rsidP="00637AA0">
            <w:pPr>
              <w:pStyle w:val="a5"/>
              <w:spacing w:after="0" w:line="240" w:lineRule="auto"/>
              <w:jc w:val="center"/>
              <w:rPr>
                <w:sz w:val="18"/>
                <w:szCs w:val="20"/>
              </w:rPr>
            </w:pPr>
            <w:r w:rsidRPr="000D6588">
              <w:rPr>
                <w:sz w:val="18"/>
                <w:szCs w:val="20"/>
              </w:rPr>
              <w:t>иной меры поддержки по обеспечению жилыми помещениями</w:t>
            </w:r>
          </w:p>
        </w:tc>
        <w:tc>
          <w:tcPr>
            <w:tcW w:w="1134" w:type="dxa"/>
            <w:vAlign w:val="center"/>
          </w:tcPr>
          <w:p w:rsidR="00A22060" w:rsidRPr="000D6588" w:rsidRDefault="00A22060" w:rsidP="00637AA0">
            <w:pPr>
              <w:pStyle w:val="a5"/>
              <w:spacing w:after="0" w:line="240" w:lineRule="auto"/>
              <w:jc w:val="center"/>
              <w:rPr>
                <w:sz w:val="18"/>
                <w:szCs w:val="20"/>
              </w:rPr>
            </w:pPr>
            <w:r w:rsidRPr="000D6588">
              <w:rPr>
                <w:sz w:val="18"/>
                <w:szCs w:val="20"/>
              </w:rPr>
              <w:t>дополнительной меры поддержки по обеспечению земельными участками</w:t>
            </w:r>
          </w:p>
        </w:tc>
        <w:tc>
          <w:tcPr>
            <w:tcW w:w="1581" w:type="dxa"/>
            <w:vMerge/>
            <w:vAlign w:val="center"/>
          </w:tcPr>
          <w:p w:rsidR="00A22060" w:rsidRPr="000D6588" w:rsidRDefault="00A22060" w:rsidP="00637AA0">
            <w:pPr>
              <w:pStyle w:val="a5"/>
              <w:spacing w:after="0" w:line="240" w:lineRule="auto"/>
              <w:jc w:val="center"/>
              <w:rPr>
                <w:sz w:val="18"/>
                <w:szCs w:val="20"/>
              </w:rPr>
            </w:pPr>
          </w:p>
        </w:tc>
        <w:tc>
          <w:tcPr>
            <w:tcW w:w="1112" w:type="dxa"/>
            <w:vMerge/>
            <w:vAlign w:val="center"/>
          </w:tcPr>
          <w:p w:rsidR="00A22060" w:rsidRPr="000D6588" w:rsidRDefault="00A22060" w:rsidP="00637AA0">
            <w:pPr>
              <w:pStyle w:val="a5"/>
              <w:spacing w:after="0" w:line="240" w:lineRule="auto"/>
              <w:jc w:val="center"/>
              <w:rPr>
                <w:sz w:val="18"/>
                <w:szCs w:val="20"/>
              </w:rPr>
            </w:pPr>
          </w:p>
        </w:tc>
        <w:tc>
          <w:tcPr>
            <w:tcW w:w="1253" w:type="dxa"/>
            <w:vMerge/>
            <w:vAlign w:val="center"/>
          </w:tcPr>
          <w:p w:rsidR="00A22060" w:rsidRPr="000D6588" w:rsidRDefault="00A22060" w:rsidP="00637AA0">
            <w:pPr>
              <w:pStyle w:val="a5"/>
              <w:spacing w:after="0" w:line="240" w:lineRule="auto"/>
              <w:jc w:val="center"/>
              <w:rPr>
                <w:sz w:val="18"/>
                <w:szCs w:val="20"/>
              </w:rPr>
            </w:pPr>
          </w:p>
        </w:tc>
        <w:tc>
          <w:tcPr>
            <w:tcW w:w="970" w:type="dxa"/>
            <w:vAlign w:val="center"/>
          </w:tcPr>
          <w:p w:rsidR="00A22060" w:rsidRPr="000D6588" w:rsidRDefault="00A22060" w:rsidP="00637AA0">
            <w:pPr>
              <w:pStyle w:val="a5"/>
              <w:spacing w:after="0" w:line="240" w:lineRule="auto"/>
              <w:jc w:val="center"/>
              <w:rPr>
                <w:sz w:val="18"/>
                <w:szCs w:val="20"/>
              </w:rPr>
            </w:pPr>
            <w:r w:rsidRPr="000D6588">
              <w:rPr>
                <w:sz w:val="18"/>
                <w:szCs w:val="20"/>
              </w:rPr>
              <w:t>ведения садоводства</w:t>
            </w:r>
          </w:p>
        </w:tc>
        <w:tc>
          <w:tcPr>
            <w:tcW w:w="895" w:type="dxa"/>
            <w:vAlign w:val="center"/>
          </w:tcPr>
          <w:p w:rsidR="00A22060" w:rsidRPr="000D6588" w:rsidRDefault="00A22060" w:rsidP="00637AA0">
            <w:pPr>
              <w:pStyle w:val="a5"/>
              <w:spacing w:after="0" w:line="240" w:lineRule="auto"/>
              <w:jc w:val="center"/>
              <w:rPr>
                <w:sz w:val="18"/>
                <w:szCs w:val="20"/>
              </w:rPr>
            </w:pPr>
            <w:r w:rsidRPr="000D6588">
              <w:rPr>
                <w:sz w:val="18"/>
                <w:szCs w:val="20"/>
              </w:rPr>
              <w:t>индивидуального жилищного строительства</w:t>
            </w:r>
          </w:p>
        </w:tc>
        <w:tc>
          <w:tcPr>
            <w:tcW w:w="1134" w:type="dxa"/>
            <w:vAlign w:val="center"/>
          </w:tcPr>
          <w:p w:rsidR="00A22060" w:rsidRPr="003A10D0" w:rsidRDefault="00A22060" w:rsidP="00637AA0">
            <w:pPr>
              <w:pStyle w:val="a5"/>
              <w:spacing w:after="0" w:line="240" w:lineRule="auto"/>
              <w:ind w:left="-108" w:firstLine="108"/>
              <w:jc w:val="center"/>
              <w:rPr>
                <w:sz w:val="18"/>
                <w:szCs w:val="20"/>
              </w:rPr>
            </w:pPr>
            <w:r w:rsidRPr="000D6588">
              <w:rPr>
                <w:sz w:val="18"/>
                <w:szCs w:val="20"/>
              </w:rPr>
              <w:t>ведения личного подсобного хозяйства»</w:t>
            </w:r>
          </w:p>
        </w:tc>
      </w:tr>
      <w:tr w:rsidR="00A22060" w:rsidRPr="003A10D0" w:rsidTr="00637AA0">
        <w:tc>
          <w:tcPr>
            <w:tcW w:w="1951" w:type="dxa"/>
          </w:tcPr>
          <w:p w:rsidR="00A22060" w:rsidRPr="003A10D0" w:rsidRDefault="00A22060" w:rsidP="00637AA0">
            <w:pPr>
              <w:pStyle w:val="a5"/>
              <w:spacing w:after="0" w:line="240" w:lineRule="auto"/>
              <w:jc w:val="both"/>
              <w:rPr>
                <w:szCs w:val="28"/>
              </w:rPr>
            </w:pPr>
          </w:p>
        </w:tc>
        <w:tc>
          <w:tcPr>
            <w:tcW w:w="709" w:type="dxa"/>
          </w:tcPr>
          <w:p w:rsidR="00A22060" w:rsidRPr="003A10D0" w:rsidRDefault="00A22060" w:rsidP="00637AA0">
            <w:pPr>
              <w:pStyle w:val="a5"/>
              <w:spacing w:after="0" w:line="240" w:lineRule="auto"/>
              <w:jc w:val="both"/>
              <w:rPr>
                <w:szCs w:val="28"/>
              </w:rPr>
            </w:pPr>
          </w:p>
        </w:tc>
        <w:tc>
          <w:tcPr>
            <w:tcW w:w="1701" w:type="dxa"/>
          </w:tcPr>
          <w:p w:rsidR="00A22060" w:rsidRPr="003A10D0" w:rsidRDefault="00A22060" w:rsidP="00637AA0">
            <w:pPr>
              <w:pStyle w:val="a5"/>
              <w:spacing w:after="0" w:line="240" w:lineRule="auto"/>
              <w:jc w:val="both"/>
              <w:rPr>
                <w:sz w:val="18"/>
                <w:szCs w:val="28"/>
              </w:rPr>
            </w:pPr>
          </w:p>
        </w:tc>
        <w:tc>
          <w:tcPr>
            <w:tcW w:w="1559" w:type="dxa"/>
          </w:tcPr>
          <w:p w:rsidR="00A22060" w:rsidRPr="003A10D0" w:rsidRDefault="00A22060" w:rsidP="00637AA0">
            <w:pPr>
              <w:pStyle w:val="a5"/>
              <w:spacing w:after="0" w:line="240" w:lineRule="auto"/>
              <w:jc w:val="both"/>
              <w:rPr>
                <w:sz w:val="18"/>
                <w:szCs w:val="28"/>
              </w:rPr>
            </w:pPr>
          </w:p>
        </w:tc>
        <w:tc>
          <w:tcPr>
            <w:tcW w:w="993" w:type="dxa"/>
          </w:tcPr>
          <w:p w:rsidR="00A22060" w:rsidRPr="003A10D0" w:rsidRDefault="00A22060" w:rsidP="00637AA0">
            <w:pPr>
              <w:pStyle w:val="a5"/>
              <w:spacing w:after="0" w:line="240" w:lineRule="auto"/>
              <w:jc w:val="both"/>
              <w:rPr>
                <w:sz w:val="18"/>
                <w:szCs w:val="28"/>
              </w:rPr>
            </w:pPr>
          </w:p>
        </w:tc>
        <w:tc>
          <w:tcPr>
            <w:tcW w:w="1134" w:type="dxa"/>
          </w:tcPr>
          <w:p w:rsidR="00A22060" w:rsidRPr="003A10D0" w:rsidRDefault="00A22060" w:rsidP="00637AA0">
            <w:pPr>
              <w:pStyle w:val="a5"/>
              <w:spacing w:after="0" w:line="240" w:lineRule="auto"/>
              <w:jc w:val="both"/>
              <w:rPr>
                <w:sz w:val="18"/>
                <w:szCs w:val="28"/>
              </w:rPr>
            </w:pPr>
          </w:p>
        </w:tc>
        <w:tc>
          <w:tcPr>
            <w:tcW w:w="1581" w:type="dxa"/>
          </w:tcPr>
          <w:p w:rsidR="00A22060" w:rsidRPr="003A10D0" w:rsidRDefault="00A22060" w:rsidP="00637AA0">
            <w:pPr>
              <w:pStyle w:val="a5"/>
              <w:spacing w:after="0" w:line="240" w:lineRule="auto"/>
              <w:jc w:val="both"/>
              <w:rPr>
                <w:sz w:val="18"/>
                <w:szCs w:val="28"/>
              </w:rPr>
            </w:pPr>
          </w:p>
        </w:tc>
        <w:tc>
          <w:tcPr>
            <w:tcW w:w="1112" w:type="dxa"/>
          </w:tcPr>
          <w:p w:rsidR="00A22060" w:rsidRPr="003A10D0" w:rsidRDefault="00A22060" w:rsidP="00637AA0">
            <w:pPr>
              <w:pStyle w:val="a5"/>
              <w:spacing w:after="0" w:line="240" w:lineRule="auto"/>
              <w:jc w:val="both"/>
              <w:rPr>
                <w:sz w:val="18"/>
                <w:szCs w:val="28"/>
              </w:rPr>
            </w:pPr>
          </w:p>
        </w:tc>
        <w:tc>
          <w:tcPr>
            <w:tcW w:w="1253" w:type="dxa"/>
          </w:tcPr>
          <w:p w:rsidR="00A22060" w:rsidRPr="003A10D0" w:rsidRDefault="00A22060" w:rsidP="00637AA0">
            <w:pPr>
              <w:pStyle w:val="a5"/>
              <w:spacing w:after="0" w:line="240" w:lineRule="auto"/>
              <w:jc w:val="both"/>
              <w:rPr>
                <w:sz w:val="18"/>
                <w:szCs w:val="28"/>
              </w:rPr>
            </w:pPr>
          </w:p>
        </w:tc>
        <w:tc>
          <w:tcPr>
            <w:tcW w:w="970" w:type="dxa"/>
          </w:tcPr>
          <w:p w:rsidR="00A22060" w:rsidRPr="003A10D0" w:rsidRDefault="00A22060" w:rsidP="00637AA0">
            <w:pPr>
              <w:pStyle w:val="a5"/>
              <w:spacing w:after="0" w:line="240" w:lineRule="auto"/>
              <w:jc w:val="both"/>
              <w:rPr>
                <w:sz w:val="18"/>
                <w:szCs w:val="28"/>
              </w:rPr>
            </w:pPr>
          </w:p>
        </w:tc>
        <w:tc>
          <w:tcPr>
            <w:tcW w:w="895" w:type="dxa"/>
          </w:tcPr>
          <w:p w:rsidR="00A22060" w:rsidRPr="003A10D0" w:rsidRDefault="00A22060" w:rsidP="00637AA0">
            <w:pPr>
              <w:pStyle w:val="a5"/>
              <w:spacing w:after="0" w:line="240" w:lineRule="auto"/>
              <w:jc w:val="both"/>
              <w:rPr>
                <w:sz w:val="18"/>
                <w:szCs w:val="28"/>
              </w:rPr>
            </w:pPr>
          </w:p>
        </w:tc>
        <w:tc>
          <w:tcPr>
            <w:tcW w:w="1134" w:type="dxa"/>
          </w:tcPr>
          <w:p w:rsidR="00A22060" w:rsidRPr="003A10D0" w:rsidRDefault="00A22060" w:rsidP="00637AA0">
            <w:pPr>
              <w:pStyle w:val="a5"/>
              <w:spacing w:after="0" w:line="240" w:lineRule="auto"/>
              <w:jc w:val="both"/>
              <w:rPr>
                <w:sz w:val="18"/>
                <w:szCs w:val="28"/>
              </w:rPr>
            </w:pPr>
          </w:p>
        </w:tc>
      </w:tr>
      <w:tr w:rsidR="00A22060" w:rsidRPr="003A10D0" w:rsidTr="00637AA0">
        <w:tc>
          <w:tcPr>
            <w:tcW w:w="1951" w:type="dxa"/>
          </w:tcPr>
          <w:p w:rsidR="00A22060" w:rsidRPr="003A10D0" w:rsidRDefault="00A22060" w:rsidP="00637AA0">
            <w:pPr>
              <w:pStyle w:val="a5"/>
              <w:spacing w:after="0" w:line="240" w:lineRule="auto"/>
              <w:jc w:val="both"/>
              <w:rPr>
                <w:szCs w:val="28"/>
              </w:rPr>
            </w:pPr>
          </w:p>
        </w:tc>
        <w:tc>
          <w:tcPr>
            <w:tcW w:w="709" w:type="dxa"/>
          </w:tcPr>
          <w:p w:rsidR="00A22060" w:rsidRPr="003A10D0" w:rsidRDefault="00A22060" w:rsidP="00637AA0">
            <w:pPr>
              <w:pStyle w:val="a5"/>
              <w:spacing w:after="0" w:line="240" w:lineRule="auto"/>
              <w:jc w:val="both"/>
              <w:rPr>
                <w:szCs w:val="28"/>
              </w:rPr>
            </w:pPr>
          </w:p>
        </w:tc>
        <w:tc>
          <w:tcPr>
            <w:tcW w:w="1701" w:type="dxa"/>
          </w:tcPr>
          <w:p w:rsidR="00A22060" w:rsidRPr="003A10D0" w:rsidRDefault="00A22060" w:rsidP="00637AA0">
            <w:pPr>
              <w:pStyle w:val="a5"/>
              <w:spacing w:after="0" w:line="240" w:lineRule="auto"/>
              <w:jc w:val="both"/>
              <w:rPr>
                <w:szCs w:val="28"/>
              </w:rPr>
            </w:pPr>
          </w:p>
        </w:tc>
        <w:tc>
          <w:tcPr>
            <w:tcW w:w="1559" w:type="dxa"/>
          </w:tcPr>
          <w:p w:rsidR="00A22060" w:rsidRPr="003A10D0" w:rsidRDefault="00A22060" w:rsidP="00637AA0">
            <w:pPr>
              <w:pStyle w:val="a5"/>
              <w:spacing w:after="0" w:line="240" w:lineRule="auto"/>
              <w:jc w:val="both"/>
              <w:rPr>
                <w:szCs w:val="28"/>
              </w:rPr>
            </w:pPr>
          </w:p>
        </w:tc>
        <w:tc>
          <w:tcPr>
            <w:tcW w:w="993"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c>
          <w:tcPr>
            <w:tcW w:w="1581" w:type="dxa"/>
          </w:tcPr>
          <w:p w:rsidR="00A22060" w:rsidRPr="003A10D0" w:rsidRDefault="00A22060" w:rsidP="00637AA0">
            <w:pPr>
              <w:pStyle w:val="a5"/>
              <w:spacing w:after="0" w:line="240" w:lineRule="auto"/>
              <w:jc w:val="both"/>
              <w:rPr>
                <w:szCs w:val="28"/>
              </w:rPr>
            </w:pPr>
          </w:p>
        </w:tc>
        <w:tc>
          <w:tcPr>
            <w:tcW w:w="1112" w:type="dxa"/>
          </w:tcPr>
          <w:p w:rsidR="00A22060" w:rsidRPr="003A10D0" w:rsidRDefault="00A22060" w:rsidP="00637AA0">
            <w:pPr>
              <w:pStyle w:val="a5"/>
              <w:spacing w:after="0" w:line="240" w:lineRule="auto"/>
              <w:jc w:val="both"/>
              <w:rPr>
                <w:szCs w:val="28"/>
              </w:rPr>
            </w:pPr>
          </w:p>
        </w:tc>
        <w:tc>
          <w:tcPr>
            <w:tcW w:w="1253" w:type="dxa"/>
          </w:tcPr>
          <w:p w:rsidR="00A22060" w:rsidRPr="003A10D0" w:rsidRDefault="00A22060" w:rsidP="00637AA0">
            <w:pPr>
              <w:pStyle w:val="a5"/>
              <w:spacing w:after="0" w:line="240" w:lineRule="auto"/>
              <w:jc w:val="both"/>
              <w:rPr>
                <w:szCs w:val="28"/>
              </w:rPr>
            </w:pPr>
          </w:p>
        </w:tc>
        <w:tc>
          <w:tcPr>
            <w:tcW w:w="970" w:type="dxa"/>
          </w:tcPr>
          <w:p w:rsidR="00A22060" w:rsidRPr="003A10D0" w:rsidRDefault="00A22060" w:rsidP="00637AA0">
            <w:pPr>
              <w:pStyle w:val="a5"/>
              <w:spacing w:after="0" w:line="240" w:lineRule="auto"/>
              <w:jc w:val="both"/>
              <w:rPr>
                <w:szCs w:val="28"/>
              </w:rPr>
            </w:pPr>
          </w:p>
        </w:tc>
        <w:tc>
          <w:tcPr>
            <w:tcW w:w="895"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r>
      <w:tr w:rsidR="00A22060" w:rsidRPr="003A10D0" w:rsidTr="00637AA0">
        <w:tc>
          <w:tcPr>
            <w:tcW w:w="1951" w:type="dxa"/>
          </w:tcPr>
          <w:p w:rsidR="00A22060" w:rsidRPr="003A10D0" w:rsidRDefault="00A22060" w:rsidP="00637AA0">
            <w:pPr>
              <w:pStyle w:val="a5"/>
              <w:spacing w:after="0" w:line="240" w:lineRule="auto"/>
              <w:jc w:val="both"/>
              <w:rPr>
                <w:szCs w:val="28"/>
              </w:rPr>
            </w:pPr>
          </w:p>
        </w:tc>
        <w:tc>
          <w:tcPr>
            <w:tcW w:w="709" w:type="dxa"/>
          </w:tcPr>
          <w:p w:rsidR="00A22060" w:rsidRPr="003A10D0" w:rsidRDefault="00A22060" w:rsidP="00637AA0">
            <w:pPr>
              <w:pStyle w:val="a5"/>
              <w:spacing w:after="0" w:line="240" w:lineRule="auto"/>
              <w:jc w:val="both"/>
              <w:rPr>
                <w:szCs w:val="28"/>
              </w:rPr>
            </w:pPr>
          </w:p>
        </w:tc>
        <w:tc>
          <w:tcPr>
            <w:tcW w:w="1701" w:type="dxa"/>
          </w:tcPr>
          <w:p w:rsidR="00A22060" w:rsidRPr="003A10D0" w:rsidRDefault="00A22060" w:rsidP="00637AA0">
            <w:pPr>
              <w:pStyle w:val="a5"/>
              <w:spacing w:after="0" w:line="240" w:lineRule="auto"/>
              <w:jc w:val="both"/>
              <w:rPr>
                <w:szCs w:val="28"/>
              </w:rPr>
            </w:pPr>
          </w:p>
        </w:tc>
        <w:tc>
          <w:tcPr>
            <w:tcW w:w="1559" w:type="dxa"/>
          </w:tcPr>
          <w:p w:rsidR="00A22060" w:rsidRPr="003A10D0" w:rsidRDefault="00A22060" w:rsidP="00637AA0">
            <w:pPr>
              <w:pStyle w:val="a5"/>
              <w:spacing w:after="0" w:line="240" w:lineRule="auto"/>
              <w:jc w:val="both"/>
              <w:rPr>
                <w:szCs w:val="28"/>
              </w:rPr>
            </w:pPr>
          </w:p>
        </w:tc>
        <w:tc>
          <w:tcPr>
            <w:tcW w:w="993"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c>
          <w:tcPr>
            <w:tcW w:w="1581" w:type="dxa"/>
          </w:tcPr>
          <w:p w:rsidR="00A22060" w:rsidRPr="003A10D0" w:rsidRDefault="00A22060" w:rsidP="00637AA0">
            <w:pPr>
              <w:pStyle w:val="a5"/>
              <w:spacing w:after="0" w:line="240" w:lineRule="auto"/>
              <w:jc w:val="both"/>
              <w:rPr>
                <w:szCs w:val="28"/>
              </w:rPr>
            </w:pPr>
          </w:p>
        </w:tc>
        <w:tc>
          <w:tcPr>
            <w:tcW w:w="1112" w:type="dxa"/>
          </w:tcPr>
          <w:p w:rsidR="00A22060" w:rsidRPr="003A10D0" w:rsidRDefault="00A22060" w:rsidP="00637AA0">
            <w:pPr>
              <w:pStyle w:val="a5"/>
              <w:spacing w:after="0" w:line="240" w:lineRule="auto"/>
              <w:jc w:val="both"/>
              <w:rPr>
                <w:szCs w:val="28"/>
              </w:rPr>
            </w:pPr>
          </w:p>
        </w:tc>
        <w:tc>
          <w:tcPr>
            <w:tcW w:w="1253" w:type="dxa"/>
          </w:tcPr>
          <w:p w:rsidR="00A22060" w:rsidRPr="003A10D0" w:rsidRDefault="00A22060" w:rsidP="00637AA0">
            <w:pPr>
              <w:pStyle w:val="a5"/>
              <w:spacing w:after="0" w:line="240" w:lineRule="auto"/>
              <w:jc w:val="both"/>
              <w:rPr>
                <w:szCs w:val="28"/>
              </w:rPr>
            </w:pPr>
          </w:p>
        </w:tc>
        <w:tc>
          <w:tcPr>
            <w:tcW w:w="970" w:type="dxa"/>
          </w:tcPr>
          <w:p w:rsidR="00A22060" w:rsidRPr="003A10D0" w:rsidRDefault="00A22060" w:rsidP="00637AA0">
            <w:pPr>
              <w:pStyle w:val="a5"/>
              <w:spacing w:after="0" w:line="240" w:lineRule="auto"/>
              <w:jc w:val="both"/>
              <w:rPr>
                <w:szCs w:val="28"/>
              </w:rPr>
            </w:pPr>
          </w:p>
        </w:tc>
        <w:tc>
          <w:tcPr>
            <w:tcW w:w="895"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r>
      <w:tr w:rsidR="00A22060" w:rsidRPr="003A10D0" w:rsidTr="00637AA0">
        <w:tc>
          <w:tcPr>
            <w:tcW w:w="1951" w:type="dxa"/>
          </w:tcPr>
          <w:p w:rsidR="00A22060" w:rsidRPr="003A10D0" w:rsidRDefault="00A22060" w:rsidP="00637AA0">
            <w:pPr>
              <w:pStyle w:val="a5"/>
              <w:spacing w:after="0" w:line="240" w:lineRule="auto"/>
              <w:jc w:val="both"/>
              <w:rPr>
                <w:szCs w:val="28"/>
              </w:rPr>
            </w:pPr>
          </w:p>
        </w:tc>
        <w:tc>
          <w:tcPr>
            <w:tcW w:w="709" w:type="dxa"/>
          </w:tcPr>
          <w:p w:rsidR="00A22060" w:rsidRPr="003A10D0" w:rsidRDefault="00A22060" w:rsidP="00637AA0">
            <w:pPr>
              <w:pStyle w:val="a5"/>
              <w:spacing w:after="0" w:line="240" w:lineRule="auto"/>
              <w:jc w:val="both"/>
              <w:rPr>
                <w:szCs w:val="28"/>
              </w:rPr>
            </w:pPr>
          </w:p>
        </w:tc>
        <w:tc>
          <w:tcPr>
            <w:tcW w:w="1701" w:type="dxa"/>
          </w:tcPr>
          <w:p w:rsidR="00A22060" w:rsidRPr="003A10D0" w:rsidRDefault="00A22060" w:rsidP="00637AA0">
            <w:pPr>
              <w:pStyle w:val="a5"/>
              <w:spacing w:after="0" w:line="240" w:lineRule="auto"/>
              <w:jc w:val="both"/>
              <w:rPr>
                <w:szCs w:val="28"/>
              </w:rPr>
            </w:pPr>
          </w:p>
        </w:tc>
        <w:tc>
          <w:tcPr>
            <w:tcW w:w="1559" w:type="dxa"/>
          </w:tcPr>
          <w:p w:rsidR="00A22060" w:rsidRPr="003A10D0" w:rsidRDefault="00A22060" w:rsidP="00637AA0">
            <w:pPr>
              <w:pStyle w:val="a5"/>
              <w:spacing w:after="0" w:line="240" w:lineRule="auto"/>
              <w:jc w:val="both"/>
              <w:rPr>
                <w:szCs w:val="28"/>
              </w:rPr>
            </w:pPr>
          </w:p>
        </w:tc>
        <w:tc>
          <w:tcPr>
            <w:tcW w:w="993"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c>
          <w:tcPr>
            <w:tcW w:w="1581" w:type="dxa"/>
          </w:tcPr>
          <w:p w:rsidR="00A22060" w:rsidRPr="003A10D0" w:rsidRDefault="00A22060" w:rsidP="00637AA0">
            <w:pPr>
              <w:pStyle w:val="a5"/>
              <w:spacing w:after="0" w:line="240" w:lineRule="auto"/>
              <w:jc w:val="both"/>
              <w:rPr>
                <w:szCs w:val="28"/>
              </w:rPr>
            </w:pPr>
          </w:p>
        </w:tc>
        <w:tc>
          <w:tcPr>
            <w:tcW w:w="1112" w:type="dxa"/>
          </w:tcPr>
          <w:p w:rsidR="00A22060" w:rsidRPr="003A10D0" w:rsidRDefault="00A22060" w:rsidP="00637AA0">
            <w:pPr>
              <w:pStyle w:val="a5"/>
              <w:spacing w:after="0" w:line="240" w:lineRule="auto"/>
              <w:jc w:val="both"/>
              <w:rPr>
                <w:szCs w:val="28"/>
              </w:rPr>
            </w:pPr>
          </w:p>
        </w:tc>
        <w:tc>
          <w:tcPr>
            <w:tcW w:w="1253" w:type="dxa"/>
          </w:tcPr>
          <w:p w:rsidR="00A22060" w:rsidRPr="003A10D0" w:rsidRDefault="00A22060" w:rsidP="00637AA0">
            <w:pPr>
              <w:pStyle w:val="a5"/>
              <w:spacing w:after="0" w:line="240" w:lineRule="auto"/>
              <w:jc w:val="both"/>
              <w:rPr>
                <w:szCs w:val="28"/>
              </w:rPr>
            </w:pPr>
          </w:p>
        </w:tc>
        <w:tc>
          <w:tcPr>
            <w:tcW w:w="970" w:type="dxa"/>
          </w:tcPr>
          <w:p w:rsidR="00A22060" w:rsidRPr="003A10D0" w:rsidRDefault="00A22060" w:rsidP="00637AA0">
            <w:pPr>
              <w:pStyle w:val="a5"/>
              <w:spacing w:after="0" w:line="240" w:lineRule="auto"/>
              <w:jc w:val="both"/>
              <w:rPr>
                <w:szCs w:val="28"/>
              </w:rPr>
            </w:pPr>
          </w:p>
        </w:tc>
        <w:tc>
          <w:tcPr>
            <w:tcW w:w="895" w:type="dxa"/>
          </w:tcPr>
          <w:p w:rsidR="00A22060" w:rsidRPr="003A10D0" w:rsidRDefault="00A22060" w:rsidP="00637AA0">
            <w:pPr>
              <w:pStyle w:val="a5"/>
              <w:spacing w:after="0" w:line="240" w:lineRule="auto"/>
              <w:jc w:val="both"/>
              <w:rPr>
                <w:szCs w:val="28"/>
              </w:rPr>
            </w:pPr>
          </w:p>
        </w:tc>
        <w:tc>
          <w:tcPr>
            <w:tcW w:w="1134" w:type="dxa"/>
          </w:tcPr>
          <w:p w:rsidR="00A22060" w:rsidRPr="003A10D0" w:rsidRDefault="00A22060" w:rsidP="00637AA0">
            <w:pPr>
              <w:pStyle w:val="a5"/>
              <w:spacing w:after="0" w:line="240" w:lineRule="auto"/>
              <w:jc w:val="both"/>
              <w:rPr>
                <w:szCs w:val="28"/>
              </w:rPr>
            </w:pPr>
          </w:p>
        </w:tc>
      </w:tr>
    </w:tbl>
    <w:p w:rsidR="00A22060" w:rsidRPr="003A10D0" w:rsidRDefault="00A22060" w:rsidP="00A22060">
      <w:pPr>
        <w:pStyle w:val="a3"/>
        <w:autoSpaceDE w:val="0"/>
        <w:autoSpaceDN w:val="0"/>
        <w:adjustRightInd w:val="0"/>
        <w:spacing w:after="0" w:line="240" w:lineRule="auto"/>
        <w:contextualSpacing/>
        <w:jc w:val="both"/>
        <w:rPr>
          <w:rFonts w:ascii="Times New Roman" w:hAnsi="Times New Roman"/>
          <w:sz w:val="24"/>
          <w:szCs w:val="28"/>
        </w:rPr>
      </w:pPr>
      <w:r w:rsidRPr="003A10D0">
        <w:rPr>
          <w:rFonts w:ascii="Times New Roman" w:hAnsi="Times New Roman"/>
          <w:sz w:val="24"/>
          <w:szCs w:val="28"/>
        </w:rPr>
        <w:t xml:space="preserve">                                                                             </w:t>
      </w:r>
    </w:p>
    <w:p w:rsidR="0073654E" w:rsidRPr="003A10D0" w:rsidRDefault="0073654E">
      <w:pPr>
        <w:pStyle w:val="ConsPlusNormal"/>
        <w:jc w:val="both"/>
        <w:rPr>
          <w:sz w:val="22"/>
        </w:rPr>
      </w:pPr>
    </w:p>
    <w:sectPr w:rsidR="0073654E" w:rsidRPr="003A10D0" w:rsidSect="00A22060">
      <w:pgSz w:w="16838" w:h="11906" w:orient="landscape"/>
      <w:pgMar w:top="567" w:right="1440" w:bottom="1134" w:left="1440"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54E"/>
    <w:rsid w:val="000D6588"/>
    <w:rsid w:val="003A10D0"/>
    <w:rsid w:val="006A39A7"/>
    <w:rsid w:val="0073654E"/>
    <w:rsid w:val="008D01BF"/>
    <w:rsid w:val="00A22060"/>
    <w:rsid w:val="00D32FD1"/>
    <w:rsid w:val="00D85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1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3654E"/>
    <w:pPr>
      <w:widowControl w:val="0"/>
      <w:autoSpaceDE w:val="0"/>
      <w:autoSpaceDN w:val="0"/>
    </w:pPr>
    <w:rPr>
      <w:rFonts w:ascii="Times New Roman" w:hAnsi="Times New Roman" w:cs="Times New Roman"/>
      <w:sz w:val="24"/>
    </w:rPr>
  </w:style>
  <w:style w:type="paragraph" w:customStyle="1" w:styleId="ConsPlusNonformat">
    <w:name w:val="ConsPlusNonformat"/>
    <w:rsid w:val="0073654E"/>
    <w:pPr>
      <w:widowControl w:val="0"/>
      <w:autoSpaceDE w:val="0"/>
      <w:autoSpaceDN w:val="0"/>
    </w:pPr>
    <w:rPr>
      <w:rFonts w:ascii="Courier New" w:hAnsi="Courier New" w:cs="Courier New"/>
      <w:sz w:val="20"/>
    </w:rPr>
  </w:style>
  <w:style w:type="paragraph" w:customStyle="1" w:styleId="ConsPlusTitle">
    <w:name w:val="ConsPlusTitle"/>
    <w:rsid w:val="0073654E"/>
    <w:pPr>
      <w:widowControl w:val="0"/>
      <w:autoSpaceDE w:val="0"/>
      <w:autoSpaceDN w:val="0"/>
    </w:pPr>
    <w:rPr>
      <w:rFonts w:ascii="Arial" w:hAnsi="Arial" w:cs="Arial"/>
      <w:b/>
      <w:sz w:val="24"/>
    </w:rPr>
  </w:style>
  <w:style w:type="paragraph" w:customStyle="1" w:styleId="ConsPlusCell">
    <w:name w:val="ConsPlusCell"/>
    <w:rsid w:val="0073654E"/>
    <w:pPr>
      <w:widowControl w:val="0"/>
      <w:autoSpaceDE w:val="0"/>
      <w:autoSpaceDN w:val="0"/>
    </w:pPr>
    <w:rPr>
      <w:rFonts w:ascii="Courier New" w:hAnsi="Courier New" w:cs="Courier New"/>
      <w:sz w:val="20"/>
    </w:rPr>
  </w:style>
  <w:style w:type="paragraph" w:customStyle="1" w:styleId="ConsPlusDocList">
    <w:name w:val="ConsPlusDocList"/>
    <w:rsid w:val="0073654E"/>
    <w:pPr>
      <w:widowControl w:val="0"/>
      <w:autoSpaceDE w:val="0"/>
      <w:autoSpaceDN w:val="0"/>
    </w:pPr>
    <w:rPr>
      <w:rFonts w:ascii="Tahoma" w:hAnsi="Tahoma" w:cs="Tahoma"/>
      <w:sz w:val="18"/>
    </w:rPr>
  </w:style>
  <w:style w:type="paragraph" w:customStyle="1" w:styleId="ConsPlusTitlePage">
    <w:name w:val="ConsPlusTitlePage"/>
    <w:rsid w:val="0073654E"/>
    <w:pPr>
      <w:widowControl w:val="0"/>
      <w:autoSpaceDE w:val="0"/>
      <w:autoSpaceDN w:val="0"/>
    </w:pPr>
    <w:rPr>
      <w:rFonts w:ascii="Tahoma" w:hAnsi="Tahoma" w:cs="Tahoma"/>
      <w:sz w:val="20"/>
    </w:rPr>
  </w:style>
  <w:style w:type="paragraph" w:customStyle="1" w:styleId="ConsPlusJurTerm">
    <w:name w:val="ConsPlusJurTerm"/>
    <w:rsid w:val="0073654E"/>
    <w:pPr>
      <w:widowControl w:val="0"/>
      <w:autoSpaceDE w:val="0"/>
      <w:autoSpaceDN w:val="0"/>
    </w:pPr>
    <w:rPr>
      <w:rFonts w:ascii="Tahoma" w:hAnsi="Tahoma" w:cs="Tahoma"/>
      <w:sz w:val="26"/>
    </w:rPr>
  </w:style>
  <w:style w:type="paragraph" w:customStyle="1" w:styleId="ConsPlusTextList">
    <w:name w:val="ConsPlusTextList"/>
    <w:rsid w:val="0073654E"/>
    <w:pPr>
      <w:widowControl w:val="0"/>
      <w:autoSpaceDE w:val="0"/>
      <w:autoSpaceDN w:val="0"/>
    </w:pPr>
    <w:rPr>
      <w:rFonts w:ascii="Times New Roman" w:hAnsi="Times New Roman" w:cs="Times New Roman"/>
      <w:sz w:val="24"/>
    </w:rPr>
  </w:style>
  <w:style w:type="paragraph" w:customStyle="1" w:styleId="ConsPlusTextList0">
    <w:name w:val="ConsPlusTextList"/>
    <w:rsid w:val="0073654E"/>
    <w:pPr>
      <w:widowControl w:val="0"/>
      <w:autoSpaceDE w:val="0"/>
      <w:autoSpaceDN w:val="0"/>
    </w:pPr>
    <w:rPr>
      <w:rFonts w:ascii="Times New Roman" w:hAnsi="Times New Roman" w:cs="Times New Roman"/>
      <w:sz w:val="24"/>
    </w:rPr>
  </w:style>
  <w:style w:type="character" w:customStyle="1" w:styleId="ConsPlusNormal0">
    <w:name w:val="ConsPlusNormal Знак"/>
    <w:link w:val="ConsPlusNormal"/>
    <w:locked/>
    <w:rsid w:val="00A22060"/>
    <w:rPr>
      <w:rFonts w:ascii="Times New Roman" w:hAnsi="Times New Roman" w:cs="Times New Roman"/>
      <w:sz w:val="24"/>
    </w:rPr>
  </w:style>
  <w:style w:type="paragraph" w:styleId="a3">
    <w:name w:val="List Paragraph"/>
    <w:basedOn w:val="a"/>
    <w:link w:val="a4"/>
    <w:uiPriority w:val="34"/>
    <w:qFormat/>
    <w:rsid w:val="00A22060"/>
    <w:pPr>
      <w:spacing w:after="200" w:line="276" w:lineRule="auto"/>
      <w:ind w:left="708"/>
    </w:pPr>
    <w:rPr>
      <w:rFonts w:ascii="Calibri" w:eastAsia="Calibri" w:hAnsi="Calibri" w:cs="Times New Roman"/>
      <w:lang w:eastAsia="en-US"/>
    </w:rPr>
  </w:style>
  <w:style w:type="character" w:customStyle="1" w:styleId="a4">
    <w:name w:val="Абзац списка Знак"/>
    <w:link w:val="a3"/>
    <w:uiPriority w:val="34"/>
    <w:locked/>
    <w:rsid w:val="00A22060"/>
    <w:rPr>
      <w:rFonts w:ascii="Calibri" w:eastAsia="Calibri" w:hAnsi="Calibri" w:cs="Times New Roman"/>
      <w:lang w:eastAsia="en-US"/>
    </w:rPr>
  </w:style>
  <w:style w:type="paragraph" w:styleId="a5">
    <w:name w:val="Normal (Web)"/>
    <w:aliases w:val="Обычный (Web)1,Обычный (Web),Обычный (веб)11"/>
    <w:basedOn w:val="a"/>
    <w:uiPriority w:val="99"/>
    <w:unhideWhenUsed/>
    <w:rsid w:val="00A22060"/>
    <w:pPr>
      <w:spacing w:after="200" w:line="276" w:lineRule="auto"/>
    </w:pPr>
    <w:rPr>
      <w:rFonts w:ascii="Times New Roman" w:eastAsia="Calibr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1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3654E"/>
    <w:pPr>
      <w:widowControl w:val="0"/>
      <w:autoSpaceDE w:val="0"/>
      <w:autoSpaceDN w:val="0"/>
    </w:pPr>
    <w:rPr>
      <w:rFonts w:ascii="Times New Roman" w:hAnsi="Times New Roman" w:cs="Times New Roman"/>
      <w:sz w:val="24"/>
    </w:rPr>
  </w:style>
  <w:style w:type="paragraph" w:customStyle="1" w:styleId="ConsPlusNonformat">
    <w:name w:val="ConsPlusNonformat"/>
    <w:rsid w:val="0073654E"/>
    <w:pPr>
      <w:widowControl w:val="0"/>
      <w:autoSpaceDE w:val="0"/>
      <w:autoSpaceDN w:val="0"/>
    </w:pPr>
    <w:rPr>
      <w:rFonts w:ascii="Courier New" w:hAnsi="Courier New" w:cs="Courier New"/>
      <w:sz w:val="20"/>
    </w:rPr>
  </w:style>
  <w:style w:type="paragraph" w:customStyle="1" w:styleId="ConsPlusTitle">
    <w:name w:val="ConsPlusTitle"/>
    <w:rsid w:val="0073654E"/>
    <w:pPr>
      <w:widowControl w:val="0"/>
      <w:autoSpaceDE w:val="0"/>
      <w:autoSpaceDN w:val="0"/>
    </w:pPr>
    <w:rPr>
      <w:rFonts w:ascii="Arial" w:hAnsi="Arial" w:cs="Arial"/>
      <w:b/>
      <w:sz w:val="24"/>
    </w:rPr>
  </w:style>
  <w:style w:type="paragraph" w:customStyle="1" w:styleId="ConsPlusCell">
    <w:name w:val="ConsPlusCell"/>
    <w:rsid w:val="0073654E"/>
    <w:pPr>
      <w:widowControl w:val="0"/>
      <w:autoSpaceDE w:val="0"/>
      <w:autoSpaceDN w:val="0"/>
    </w:pPr>
    <w:rPr>
      <w:rFonts w:ascii="Courier New" w:hAnsi="Courier New" w:cs="Courier New"/>
      <w:sz w:val="20"/>
    </w:rPr>
  </w:style>
  <w:style w:type="paragraph" w:customStyle="1" w:styleId="ConsPlusDocList">
    <w:name w:val="ConsPlusDocList"/>
    <w:rsid w:val="0073654E"/>
    <w:pPr>
      <w:widowControl w:val="0"/>
      <w:autoSpaceDE w:val="0"/>
      <w:autoSpaceDN w:val="0"/>
    </w:pPr>
    <w:rPr>
      <w:rFonts w:ascii="Tahoma" w:hAnsi="Tahoma" w:cs="Tahoma"/>
      <w:sz w:val="18"/>
    </w:rPr>
  </w:style>
  <w:style w:type="paragraph" w:customStyle="1" w:styleId="ConsPlusTitlePage">
    <w:name w:val="ConsPlusTitlePage"/>
    <w:rsid w:val="0073654E"/>
    <w:pPr>
      <w:widowControl w:val="0"/>
      <w:autoSpaceDE w:val="0"/>
      <w:autoSpaceDN w:val="0"/>
    </w:pPr>
    <w:rPr>
      <w:rFonts w:ascii="Tahoma" w:hAnsi="Tahoma" w:cs="Tahoma"/>
      <w:sz w:val="20"/>
    </w:rPr>
  </w:style>
  <w:style w:type="paragraph" w:customStyle="1" w:styleId="ConsPlusJurTerm">
    <w:name w:val="ConsPlusJurTerm"/>
    <w:rsid w:val="0073654E"/>
    <w:pPr>
      <w:widowControl w:val="0"/>
      <w:autoSpaceDE w:val="0"/>
      <w:autoSpaceDN w:val="0"/>
    </w:pPr>
    <w:rPr>
      <w:rFonts w:ascii="Tahoma" w:hAnsi="Tahoma" w:cs="Tahoma"/>
      <w:sz w:val="26"/>
    </w:rPr>
  </w:style>
  <w:style w:type="paragraph" w:customStyle="1" w:styleId="ConsPlusTextList">
    <w:name w:val="ConsPlusTextList"/>
    <w:rsid w:val="0073654E"/>
    <w:pPr>
      <w:widowControl w:val="0"/>
      <w:autoSpaceDE w:val="0"/>
      <w:autoSpaceDN w:val="0"/>
    </w:pPr>
    <w:rPr>
      <w:rFonts w:ascii="Times New Roman" w:hAnsi="Times New Roman" w:cs="Times New Roman"/>
      <w:sz w:val="24"/>
    </w:rPr>
  </w:style>
  <w:style w:type="paragraph" w:customStyle="1" w:styleId="ConsPlusTextList0">
    <w:name w:val="ConsPlusTextList"/>
    <w:rsid w:val="0073654E"/>
    <w:pPr>
      <w:widowControl w:val="0"/>
      <w:autoSpaceDE w:val="0"/>
      <w:autoSpaceDN w:val="0"/>
    </w:pPr>
    <w:rPr>
      <w:rFonts w:ascii="Times New Roman" w:hAnsi="Times New Roman" w:cs="Times New Roman"/>
      <w:sz w:val="24"/>
    </w:rPr>
  </w:style>
  <w:style w:type="character" w:customStyle="1" w:styleId="ConsPlusNormal0">
    <w:name w:val="ConsPlusNormal Знак"/>
    <w:link w:val="ConsPlusNormal"/>
    <w:locked/>
    <w:rsid w:val="00A22060"/>
    <w:rPr>
      <w:rFonts w:ascii="Times New Roman" w:hAnsi="Times New Roman" w:cs="Times New Roman"/>
      <w:sz w:val="24"/>
    </w:rPr>
  </w:style>
  <w:style w:type="paragraph" w:styleId="a3">
    <w:name w:val="List Paragraph"/>
    <w:basedOn w:val="a"/>
    <w:link w:val="a4"/>
    <w:uiPriority w:val="34"/>
    <w:qFormat/>
    <w:rsid w:val="00A22060"/>
    <w:pPr>
      <w:spacing w:after="200" w:line="276" w:lineRule="auto"/>
      <w:ind w:left="708"/>
    </w:pPr>
    <w:rPr>
      <w:rFonts w:ascii="Calibri" w:eastAsia="Calibri" w:hAnsi="Calibri" w:cs="Times New Roman"/>
      <w:lang w:eastAsia="en-US"/>
    </w:rPr>
  </w:style>
  <w:style w:type="character" w:customStyle="1" w:styleId="a4">
    <w:name w:val="Абзац списка Знак"/>
    <w:link w:val="a3"/>
    <w:uiPriority w:val="34"/>
    <w:locked/>
    <w:rsid w:val="00A22060"/>
    <w:rPr>
      <w:rFonts w:ascii="Calibri" w:eastAsia="Calibri" w:hAnsi="Calibri" w:cs="Times New Roman"/>
      <w:lang w:eastAsia="en-US"/>
    </w:rPr>
  </w:style>
  <w:style w:type="paragraph" w:styleId="a5">
    <w:name w:val="Normal (Web)"/>
    <w:aliases w:val="Обычный (Web)1,Обычный (Web),Обычный (веб)11"/>
    <w:basedOn w:val="a"/>
    <w:uiPriority w:val="99"/>
    <w:unhideWhenUsed/>
    <w:rsid w:val="00A22060"/>
    <w:pPr>
      <w:spacing w:after="200" w:line="276" w:lineRule="auto"/>
    </w:pPr>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2257</Words>
  <Characters>12871</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Мурманской области от 13.11.2020 N 795-ПП
(ред. от 01.09.2025)
"О государственной программе Мурманской области "Комфортное жилье и городская среда"</vt:lpstr>
    </vt:vector>
  </TitlesOfParts>
  <Company>КонсультантПлюс Версия 4024.00.50</Company>
  <LinksUpToDate>false</LinksUpToDate>
  <CharactersWithSpaces>15098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13.11.2020 N 795-ПП
(ред. от 01.09.2025)
"О государственной программе Мурманской области "Комфортное жилье и городская среда"</dc:title>
  <dc:creator>Поддубная А.В.</dc:creator>
  <cp:lastModifiedBy>Поддубная А.В.</cp:lastModifiedBy>
  <cp:revision>2</cp:revision>
  <dcterms:created xsi:type="dcterms:W3CDTF">2025-10-01T06:13:00Z</dcterms:created>
  <dcterms:modified xsi:type="dcterms:W3CDTF">2025-10-01T06:13:00Z</dcterms:modified>
</cp:coreProperties>
</file>